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355" w:rsidRPr="003105A1" w:rsidRDefault="00B56E1E" w:rsidP="009A1355">
      <w:pPr>
        <w:pStyle w:val="NoSpacing"/>
        <w:jc w:val="right"/>
        <w:rPr>
          <w:rFonts w:asciiTheme="minorBidi" w:hAnsiTheme="minorBidi" w:cstheme="minorBidi"/>
          <w:b/>
          <w:bCs/>
          <w:i/>
          <w:iCs/>
          <w:sz w:val="32"/>
          <w:szCs w:val="32"/>
        </w:rPr>
      </w:pPr>
      <w:r w:rsidRPr="003105A1">
        <w:rPr>
          <w:rFonts w:asciiTheme="minorBidi" w:hAnsiTheme="minorBidi" w:cstheme="minorBidi"/>
          <w:b/>
          <w:bCs/>
          <w:noProof/>
          <w:sz w:val="32"/>
          <w:szCs w:val="32"/>
        </w:rPr>
        <w:drawing>
          <wp:inline distT="0" distB="0" distL="0" distR="0">
            <wp:extent cx="1250315" cy="490855"/>
            <wp:effectExtent l="0" t="0" r="698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8" cstate="print">
                      <a:extLst>
                        <a:ext uri="{28A0092B-C50C-407E-A947-70E740481C1C}">
                          <a14:useLocalDpi xmlns:a14="http://schemas.microsoft.com/office/drawing/2010/main" val="0"/>
                        </a:ext>
                      </a:extLst>
                    </a:blip>
                    <a:srcRect l="9031" t="16403" r="6613" b="17935"/>
                    <a:stretch/>
                  </pic:blipFill>
                  <pic:spPr bwMode="auto">
                    <a:xfrm>
                      <a:off x="0" y="0"/>
                      <a:ext cx="1250315" cy="490855"/>
                    </a:xfrm>
                    <a:prstGeom prst="rect">
                      <a:avLst/>
                    </a:prstGeom>
                    <a:ln>
                      <a:noFill/>
                    </a:ln>
                    <a:extLst>
                      <a:ext uri="{53640926-AAD7-44D8-BBD7-CCE9431645EC}">
                        <a14:shadowObscured xmlns:a14="http://schemas.microsoft.com/office/drawing/2010/main"/>
                      </a:ext>
                    </a:extLst>
                  </pic:spPr>
                </pic:pic>
              </a:graphicData>
            </a:graphic>
          </wp:inline>
        </w:drawing>
      </w:r>
    </w:p>
    <w:p w:rsidR="009A1355" w:rsidRPr="003105A1" w:rsidRDefault="009A1355" w:rsidP="009A1355">
      <w:pPr>
        <w:pStyle w:val="NoSpacing"/>
        <w:jc w:val="thaiDistribute"/>
        <w:rPr>
          <w:rFonts w:asciiTheme="minorBidi" w:hAnsiTheme="minorBidi" w:cstheme="minorBidi"/>
          <w:b/>
          <w:bCs/>
          <w:i/>
          <w:iCs/>
          <w:sz w:val="32"/>
          <w:szCs w:val="32"/>
        </w:rPr>
      </w:pPr>
      <w:r w:rsidRPr="003105A1">
        <w:rPr>
          <w:rFonts w:asciiTheme="minorBidi" w:hAnsiTheme="minorBidi" w:cstheme="minorBidi"/>
          <w:b/>
          <w:bCs/>
          <w:i/>
          <w:iCs/>
          <w:sz w:val="32"/>
          <w:szCs w:val="32"/>
        </w:rPr>
        <w:t>Press Release</w:t>
      </w:r>
    </w:p>
    <w:p w:rsidR="009A1355" w:rsidRPr="003105A1" w:rsidRDefault="009A1355" w:rsidP="009A1355">
      <w:pPr>
        <w:pStyle w:val="NoSpacing"/>
        <w:jc w:val="thaiDistribute"/>
        <w:rPr>
          <w:rFonts w:asciiTheme="minorBidi" w:hAnsiTheme="minorBidi" w:cstheme="minorBidi"/>
          <w:b/>
          <w:bCs/>
          <w:sz w:val="36"/>
          <w:szCs w:val="36"/>
        </w:rPr>
      </w:pPr>
    </w:p>
    <w:p w:rsidR="009A1355" w:rsidRPr="003105A1" w:rsidRDefault="009A1355" w:rsidP="009A1355">
      <w:pPr>
        <w:pStyle w:val="NoSpacing"/>
        <w:jc w:val="center"/>
        <w:rPr>
          <w:rStyle w:val="Emphasis"/>
          <w:rFonts w:asciiTheme="minorBidi" w:hAnsiTheme="minorBidi" w:cstheme="minorBidi"/>
          <w:b/>
          <w:bCs/>
          <w:i w:val="0"/>
          <w:iCs w:val="0"/>
          <w:sz w:val="32"/>
          <w:szCs w:val="32"/>
        </w:rPr>
      </w:pPr>
      <w:r w:rsidRPr="003105A1">
        <w:rPr>
          <w:rFonts w:asciiTheme="minorBidi" w:hAnsiTheme="minorBidi" w:cstheme="minorBidi"/>
          <w:b/>
          <w:bCs/>
          <w:sz w:val="32"/>
          <w:szCs w:val="32"/>
        </w:rPr>
        <w:t>SCG Announces Operating Results for Q3 and 9M 2019; Reports Lower Profits following the low cycle in the Chemicals Business, while the Cement-Building Materials Business saw gains in profitability, and Revelation of the Growth Strategy to Accelerate and Increase the Capabilities in the Packaging Business.</w:t>
      </w:r>
    </w:p>
    <w:p w:rsidR="009A1355" w:rsidRPr="003105A1" w:rsidRDefault="009A1355" w:rsidP="009A1355">
      <w:pPr>
        <w:jc w:val="thaiDistribute"/>
        <w:rPr>
          <w:rStyle w:val="Emphasis"/>
          <w:rFonts w:asciiTheme="minorBidi" w:hAnsiTheme="minorBidi" w:cstheme="minorBidi"/>
          <w:b/>
          <w:bCs/>
          <w:sz w:val="32"/>
          <w:szCs w:val="32"/>
        </w:rPr>
      </w:pPr>
    </w:p>
    <w:p w:rsidR="009A1355" w:rsidRPr="003105A1" w:rsidRDefault="009A1355" w:rsidP="009A1355">
      <w:pPr>
        <w:pStyle w:val="NormalWeb"/>
        <w:spacing w:before="0" w:beforeAutospacing="0" w:after="0" w:afterAutospacing="0"/>
        <w:jc w:val="thaiDistribute"/>
        <w:rPr>
          <w:rFonts w:asciiTheme="minorBidi" w:hAnsiTheme="minorBidi" w:cstheme="minorBidi"/>
          <w:sz w:val="32"/>
          <w:szCs w:val="32"/>
        </w:rPr>
      </w:pPr>
      <w:r w:rsidRPr="003105A1">
        <w:rPr>
          <w:rStyle w:val="Emphasis"/>
          <w:rFonts w:asciiTheme="minorBidi" w:hAnsiTheme="minorBidi" w:cstheme="minorBidi"/>
          <w:b/>
          <w:bCs/>
          <w:sz w:val="32"/>
          <w:szCs w:val="32"/>
        </w:rPr>
        <w:t>BANGKOK: October 28 2019 – SCG's operating results for Q3/2019 and the first 9 months of 2019 recorded a lower profits compared to the same period of last year, primarily driven by the drop in profitability in the Chemicals Business due to the existing low cycle, the global economic slowdown which was exacerbated by the trade war, and the appreciation of Thai Baht. Meanwhile, Cement – Building Materials Business reported increased profit with the emergence of sales growth in the Distribution and Retail Businesses. Moreover, SCG reveals its growth strategy to accelerate the increase in the capabilities of its Packaging Business.</w:t>
      </w:r>
    </w:p>
    <w:p w:rsidR="009A1355" w:rsidRPr="003105A1" w:rsidRDefault="009A1355" w:rsidP="009A1355">
      <w:pPr>
        <w:pStyle w:val="NoSpacing"/>
        <w:ind w:firstLine="720"/>
        <w:jc w:val="thaiDistribute"/>
        <w:rPr>
          <w:rFonts w:asciiTheme="minorBidi" w:hAnsiTheme="minorBidi" w:cstheme="minorBidi"/>
          <w:sz w:val="32"/>
          <w:szCs w:val="32"/>
        </w:rPr>
      </w:pPr>
      <w:r w:rsidRPr="003105A1">
        <w:rPr>
          <w:rFonts w:asciiTheme="minorBidi" w:hAnsiTheme="minorBidi" w:cstheme="minorBidi"/>
          <w:b/>
          <w:bCs/>
          <w:sz w:val="32"/>
          <w:szCs w:val="32"/>
        </w:rPr>
        <w:t>Mr. Roongrote Rangsiyopash, President and CEO of SCG</w:t>
      </w:r>
      <w:r w:rsidRPr="003105A1">
        <w:rPr>
          <w:rFonts w:asciiTheme="minorBidi" w:hAnsiTheme="minorBidi" w:cstheme="minorBidi"/>
          <w:sz w:val="32"/>
          <w:szCs w:val="32"/>
        </w:rPr>
        <w:t xml:space="preserve">, disclosed, “The Company's </w:t>
      </w:r>
      <w:proofErr w:type="spellStart"/>
      <w:r w:rsidRPr="003105A1">
        <w:rPr>
          <w:rFonts w:asciiTheme="minorBidi" w:hAnsiTheme="minorBidi" w:cstheme="minorBidi"/>
          <w:sz w:val="32"/>
          <w:szCs w:val="32"/>
        </w:rPr>
        <w:t>un</w:t>
      </w:r>
      <w:r w:rsidR="008F1F45">
        <w:rPr>
          <w:rFonts w:asciiTheme="minorBidi" w:hAnsiTheme="minorBidi" w:cstheme="minorBidi"/>
          <w:sz w:val="32"/>
          <w:szCs w:val="32"/>
        </w:rPr>
        <w:t>review</w:t>
      </w:r>
      <w:r w:rsidRPr="003105A1">
        <w:rPr>
          <w:rFonts w:asciiTheme="minorBidi" w:hAnsiTheme="minorBidi" w:cstheme="minorBidi"/>
          <w:sz w:val="32"/>
          <w:szCs w:val="32"/>
        </w:rPr>
        <w:t>ed</w:t>
      </w:r>
      <w:proofErr w:type="spellEnd"/>
      <w:r w:rsidRPr="003105A1">
        <w:rPr>
          <w:rFonts w:asciiTheme="minorBidi" w:hAnsiTheme="minorBidi" w:cstheme="minorBidi"/>
          <w:sz w:val="32"/>
          <w:szCs w:val="32"/>
        </w:rPr>
        <w:t xml:space="preserve"> Operating Results for Q3/2019 registered the Revenue from Sales of 110,330 MB, decreased by 10% y-o-y primarily due to lower chemicals product prices but a 1% increase q-o-q. Meanwhile, Profit for the Period totaled 6,204 MB, a drop of 35% y-o-y and 12% q-o-q resulted from the lower performance of Chemicals Business due to the lower product margins, Deferred Tax Assets reversal amounted to 1,063 MB and reduced equity income from the major turnaround of an associated company, the global economic slowdown spawned by trade war tensions and Thai Baht appreciation combined with the Company realized an assets impairment of 762 MB, of which 640 MB impairment was from the Cement-Building Materials Business which mainly from the regional non-Thai Ceramics Business. Without the recognition of the Deferred Tax Assets reversal, SCG would have recorded 7,267 MB in Profit for the Period, a drop of 23% </w:t>
      </w:r>
      <w:r w:rsidR="00B74A65">
        <w:rPr>
          <w:rFonts w:asciiTheme="minorBidi" w:hAnsiTheme="minorBidi" w:cstheme="minorBidi"/>
          <w:sz w:val="32"/>
          <w:szCs w:val="32"/>
        </w:rPr>
        <w:t xml:space="preserve">               </w:t>
      </w:r>
      <w:bookmarkStart w:id="0" w:name="_GoBack"/>
      <w:bookmarkEnd w:id="0"/>
      <w:r w:rsidRPr="003105A1">
        <w:rPr>
          <w:rFonts w:asciiTheme="minorBidi" w:hAnsiTheme="minorBidi" w:cstheme="minorBidi"/>
          <w:sz w:val="32"/>
          <w:szCs w:val="32"/>
        </w:rPr>
        <w:t>y-o-y but an increase of 3% q-o-q.</w:t>
      </w:r>
    </w:p>
    <w:p w:rsidR="009A1355" w:rsidRPr="003105A1" w:rsidRDefault="009A1355" w:rsidP="009A1355">
      <w:pPr>
        <w:pStyle w:val="NoSpacing"/>
        <w:ind w:firstLine="720"/>
        <w:jc w:val="thaiDistribute"/>
        <w:rPr>
          <w:rFonts w:asciiTheme="minorBidi" w:hAnsiTheme="minorBidi" w:cstheme="minorBidi"/>
          <w:sz w:val="32"/>
          <w:szCs w:val="32"/>
        </w:rPr>
      </w:pPr>
      <w:r w:rsidRPr="003105A1">
        <w:rPr>
          <w:rFonts w:asciiTheme="minorBidi" w:hAnsiTheme="minorBidi" w:cstheme="minorBidi"/>
          <w:sz w:val="32"/>
          <w:szCs w:val="32"/>
        </w:rPr>
        <w:t>As for Operating Results for the first 9 months of 2019, SCG registered Revenue from Sales of 331,803 MB, a decrease of 8% y-o-y, due to lower chemicals prices. Profit for the Period totaled 24,910 MB, a drop of 27% y-o-y. In this regard, the notable transactions during the first 9 months of 2019 were the Q2/19 Severance Pay Adjustment (</w:t>
      </w:r>
      <w:proofErr w:type="spellStart"/>
      <w:r w:rsidRPr="003105A1">
        <w:rPr>
          <w:rFonts w:asciiTheme="minorBidi" w:hAnsiTheme="minorBidi" w:cstheme="minorBidi"/>
          <w:sz w:val="32"/>
          <w:szCs w:val="32"/>
        </w:rPr>
        <w:t>Labour</w:t>
      </w:r>
      <w:proofErr w:type="spellEnd"/>
      <w:r w:rsidRPr="003105A1">
        <w:rPr>
          <w:rFonts w:asciiTheme="minorBidi" w:hAnsiTheme="minorBidi" w:cstheme="minorBidi"/>
          <w:sz w:val="32"/>
          <w:szCs w:val="32"/>
        </w:rPr>
        <w:t xml:space="preserve"> Law) of 2,035 MB, the Q3/19 Deferred Tax Assets Reversal of 1,063 MB, the Q3/19 assets impairment of 762 MB mainly from the regional </w:t>
      </w:r>
      <w:r w:rsidR="00296649" w:rsidRPr="003105A1">
        <w:rPr>
          <w:rFonts w:asciiTheme="minorBidi" w:hAnsiTheme="minorBidi" w:cstheme="minorBidi"/>
          <w:sz w:val="32"/>
          <w:szCs w:val="32"/>
        </w:rPr>
        <w:t xml:space="preserve">non-Thai </w:t>
      </w:r>
      <w:r w:rsidR="009D47D4" w:rsidRPr="003105A1">
        <w:rPr>
          <w:rFonts w:asciiTheme="minorBidi" w:hAnsiTheme="minorBidi" w:cstheme="minorBidi"/>
          <w:sz w:val="32"/>
          <w:szCs w:val="32"/>
        </w:rPr>
        <w:t>C</w:t>
      </w:r>
      <w:r w:rsidRPr="003105A1">
        <w:rPr>
          <w:rFonts w:asciiTheme="minorBidi" w:hAnsiTheme="minorBidi" w:cstheme="minorBidi"/>
          <w:sz w:val="32"/>
          <w:szCs w:val="32"/>
        </w:rPr>
        <w:t xml:space="preserve">eramics </w:t>
      </w:r>
      <w:r w:rsidR="009D47D4" w:rsidRPr="003105A1">
        <w:rPr>
          <w:rFonts w:asciiTheme="minorBidi" w:hAnsiTheme="minorBidi" w:cstheme="minorBidi"/>
          <w:sz w:val="32"/>
          <w:szCs w:val="32"/>
        </w:rPr>
        <w:t>B</w:t>
      </w:r>
      <w:r w:rsidRPr="003105A1">
        <w:rPr>
          <w:rFonts w:asciiTheme="minorBidi" w:hAnsiTheme="minorBidi" w:cstheme="minorBidi"/>
          <w:sz w:val="32"/>
          <w:szCs w:val="32"/>
        </w:rPr>
        <w:t xml:space="preserve">usiness, and the global trade war concerns which continues to affect the </w:t>
      </w:r>
      <w:r w:rsidR="00211B85">
        <w:rPr>
          <w:rFonts w:asciiTheme="minorBidi" w:hAnsiTheme="minorBidi" w:cstheme="minorBidi"/>
          <w:sz w:val="32"/>
          <w:szCs w:val="32"/>
        </w:rPr>
        <w:t xml:space="preserve">chemicals </w:t>
      </w:r>
      <w:r w:rsidRPr="003105A1">
        <w:rPr>
          <w:rFonts w:asciiTheme="minorBidi" w:hAnsiTheme="minorBidi" w:cstheme="minorBidi"/>
          <w:sz w:val="32"/>
          <w:szCs w:val="32"/>
        </w:rPr>
        <w:t>margins of both subsidiaries and associated companies.</w:t>
      </w:r>
    </w:p>
    <w:p w:rsidR="009A1355" w:rsidRPr="003105A1" w:rsidRDefault="009A1355" w:rsidP="009A1355">
      <w:pPr>
        <w:ind w:firstLine="720"/>
        <w:jc w:val="thaiDistribute"/>
        <w:rPr>
          <w:rFonts w:asciiTheme="minorBidi" w:hAnsiTheme="minorBidi" w:cstheme="minorBidi"/>
          <w:sz w:val="32"/>
          <w:szCs w:val="32"/>
        </w:rPr>
      </w:pPr>
      <w:r w:rsidRPr="003105A1">
        <w:rPr>
          <w:rFonts w:asciiTheme="minorBidi" w:hAnsiTheme="minorBidi" w:cstheme="minorBidi"/>
          <w:b/>
          <w:bCs/>
          <w:sz w:val="32"/>
          <w:szCs w:val="32"/>
        </w:rPr>
        <w:t>SCG's Revenue of High Value-Added Products &amp; Services (HVA) Sales</w:t>
      </w:r>
      <w:r w:rsidRPr="003105A1">
        <w:rPr>
          <w:rFonts w:asciiTheme="minorBidi" w:hAnsiTheme="minorBidi" w:cstheme="minorBidi"/>
          <w:sz w:val="32"/>
          <w:szCs w:val="32"/>
        </w:rPr>
        <w:t xml:space="preserve"> for Q3/2019 reached </w:t>
      </w:r>
      <w:r w:rsidRPr="003105A1">
        <w:rPr>
          <w:rFonts w:asciiTheme="minorBidi" w:hAnsiTheme="minorBidi" w:cs="Cordia New"/>
          <w:sz w:val="32"/>
          <w:szCs w:val="32"/>
          <w:cs/>
        </w:rPr>
        <w:t>4</w:t>
      </w:r>
      <w:r w:rsidRPr="003105A1">
        <w:rPr>
          <w:rFonts w:asciiTheme="minorBidi" w:hAnsiTheme="minorBidi" w:cs="Cordia New"/>
          <w:sz w:val="32"/>
          <w:szCs w:val="32"/>
        </w:rPr>
        <w:t>4</w:t>
      </w:r>
      <w:r w:rsidRPr="003105A1">
        <w:rPr>
          <w:rFonts w:asciiTheme="minorBidi" w:hAnsiTheme="minorBidi" w:cs="Cordia New"/>
          <w:sz w:val="32"/>
          <w:szCs w:val="32"/>
          <w:cs/>
        </w:rPr>
        <w:t>,</w:t>
      </w:r>
      <w:r w:rsidRPr="003105A1">
        <w:rPr>
          <w:rFonts w:asciiTheme="minorBidi" w:hAnsiTheme="minorBidi" w:cs="Cordia New"/>
          <w:sz w:val="32"/>
          <w:szCs w:val="32"/>
        </w:rPr>
        <w:t>450</w:t>
      </w:r>
      <w:r w:rsidRPr="003105A1">
        <w:rPr>
          <w:rFonts w:asciiTheme="minorBidi" w:hAnsiTheme="minorBidi" w:cstheme="minorBidi"/>
          <w:sz w:val="32"/>
          <w:szCs w:val="32"/>
        </w:rPr>
        <w:t xml:space="preserve"> MB, accounting for 40% of the total Revenue from Sales, down 8% y-o-y and 6% q-o-q. As a result,</w:t>
      </w:r>
      <w:r w:rsidRPr="003105A1">
        <w:rPr>
          <w:rFonts w:asciiTheme="minorBidi" w:hAnsiTheme="minorBidi" w:cstheme="minorBidi"/>
          <w:sz w:val="32"/>
          <w:szCs w:val="32"/>
          <w:shd w:val="clear" w:color="auto" w:fill="FFFFFF"/>
        </w:rPr>
        <w:t xml:space="preserve"> the </w:t>
      </w:r>
      <w:r w:rsidRPr="003105A1">
        <w:rPr>
          <w:rFonts w:asciiTheme="minorBidi" w:hAnsiTheme="minorBidi" w:cstheme="minorBidi"/>
          <w:sz w:val="32"/>
          <w:szCs w:val="32"/>
          <w:shd w:val="clear" w:color="auto" w:fill="FFFFFF"/>
        </w:rPr>
        <w:lastRenderedPageBreak/>
        <w:t xml:space="preserve">Revenue from Sales of HVAs for the first 9 months of 2019 amounted to </w:t>
      </w:r>
      <w:r w:rsidRPr="003105A1">
        <w:rPr>
          <w:rFonts w:asciiTheme="minorBidi" w:hAnsiTheme="minorBidi" w:cstheme="minorBidi"/>
          <w:sz w:val="32"/>
          <w:szCs w:val="32"/>
        </w:rPr>
        <w:t>137</w:t>
      </w:r>
      <w:r w:rsidRPr="003105A1">
        <w:rPr>
          <w:rFonts w:asciiTheme="minorBidi" w:hAnsiTheme="minorBidi" w:cs="Cordia New"/>
          <w:sz w:val="32"/>
          <w:szCs w:val="32"/>
          <w:cs/>
        </w:rPr>
        <w:t>,</w:t>
      </w:r>
      <w:r w:rsidRPr="003105A1">
        <w:rPr>
          <w:rFonts w:asciiTheme="minorBidi" w:hAnsiTheme="minorBidi" w:cs="Cordia New"/>
          <w:sz w:val="32"/>
          <w:szCs w:val="32"/>
        </w:rPr>
        <w:t xml:space="preserve">077 </w:t>
      </w:r>
      <w:r w:rsidRPr="003105A1">
        <w:rPr>
          <w:rFonts w:asciiTheme="minorBidi" w:hAnsiTheme="minorBidi" w:cstheme="minorBidi"/>
          <w:sz w:val="32"/>
          <w:szCs w:val="32"/>
          <w:shd w:val="clear" w:color="auto" w:fill="FFFFFF"/>
        </w:rPr>
        <w:t>MB or 41% of total Revenue from Sales, declining 2% y-o-y.</w:t>
      </w:r>
    </w:p>
    <w:p w:rsidR="009A1355" w:rsidRPr="003105A1" w:rsidRDefault="009A1355" w:rsidP="009A1355">
      <w:pPr>
        <w:ind w:firstLine="720"/>
        <w:jc w:val="thaiDistribute"/>
        <w:rPr>
          <w:rFonts w:asciiTheme="minorBidi" w:hAnsiTheme="minorBidi" w:cstheme="minorBidi"/>
          <w:sz w:val="32"/>
          <w:szCs w:val="32"/>
        </w:rPr>
      </w:pPr>
      <w:r w:rsidRPr="003105A1">
        <w:rPr>
          <w:rFonts w:asciiTheme="minorBidi" w:hAnsiTheme="minorBidi" w:cstheme="minorBidi"/>
          <w:sz w:val="32"/>
          <w:szCs w:val="32"/>
          <w:shd w:val="clear" w:color="auto" w:fill="FFFFFF"/>
        </w:rPr>
        <w:t>Besides, SCG’s </w:t>
      </w:r>
      <w:r w:rsidRPr="003105A1">
        <w:rPr>
          <w:rFonts w:asciiTheme="minorBidi" w:hAnsiTheme="minorBidi" w:cstheme="minorBidi"/>
          <w:b/>
          <w:bCs/>
          <w:sz w:val="32"/>
          <w:szCs w:val="32"/>
          <w:shd w:val="clear" w:color="auto" w:fill="FFFFFF"/>
        </w:rPr>
        <w:t>Revenue from performance businesses outside of Thailand including with export sales</w:t>
      </w:r>
      <w:r w:rsidRPr="003105A1">
        <w:rPr>
          <w:rFonts w:asciiTheme="minorBidi" w:hAnsiTheme="minorBidi" w:cstheme="minorBidi"/>
          <w:sz w:val="32"/>
          <w:szCs w:val="32"/>
          <w:shd w:val="clear" w:color="auto" w:fill="FFFFFF"/>
        </w:rPr>
        <w:t> </w:t>
      </w:r>
      <w:r w:rsidRPr="003105A1">
        <w:rPr>
          <w:rFonts w:asciiTheme="minorBidi" w:hAnsiTheme="minorBidi" w:cstheme="minorBidi"/>
          <w:b/>
          <w:bCs/>
          <w:sz w:val="32"/>
          <w:szCs w:val="32"/>
          <w:shd w:val="clear" w:color="auto" w:fill="FFFFFF"/>
        </w:rPr>
        <w:t>from Thailand </w:t>
      </w:r>
      <w:r w:rsidRPr="003105A1">
        <w:rPr>
          <w:rFonts w:asciiTheme="minorBidi" w:hAnsiTheme="minorBidi" w:cstheme="minorBidi"/>
          <w:sz w:val="32"/>
          <w:szCs w:val="32"/>
          <w:shd w:val="clear" w:color="auto" w:fill="FFFFFF"/>
        </w:rPr>
        <w:t xml:space="preserve">in the first 9 months of 2019 registered </w:t>
      </w:r>
      <w:r w:rsidRPr="003105A1">
        <w:rPr>
          <w:rFonts w:asciiTheme="minorBidi" w:hAnsiTheme="minorBidi" w:cs="Cordia New"/>
          <w:sz w:val="32"/>
          <w:szCs w:val="32"/>
        </w:rPr>
        <w:t>134,522</w:t>
      </w:r>
      <w:r w:rsidRPr="003105A1">
        <w:rPr>
          <w:rFonts w:asciiTheme="minorBidi" w:hAnsiTheme="minorBidi" w:cstheme="minorBidi"/>
          <w:sz w:val="32"/>
          <w:szCs w:val="32"/>
          <w:shd w:val="clear" w:color="auto" w:fill="FFFFFF"/>
        </w:rPr>
        <w:t xml:space="preserve"> MB or 41% of total Revenue from Sales, a dip of 12% y-o-y.</w:t>
      </w:r>
    </w:p>
    <w:p w:rsidR="009A1355" w:rsidRPr="003105A1" w:rsidRDefault="009A1355" w:rsidP="009A1355">
      <w:pPr>
        <w:ind w:firstLine="720"/>
        <w:jc w:val="thaiDistribute"/>
        <w:rPr>
          <w:rFonts w:asciiTheme="minorBidi" w:hAnsiTheme="minorBidi" w:cstheme="minorBidi"/>
          <w:b/>
          <w:bCs/>
          <w:sz w:val="32"/>
          <w:szCs w:val="32"/>
          <w:shd w:val="clear" w:color="auto" w:fill="FFFFFF"/>
        </w:rPr>
      </w:pPr>
      <w:r w:rsidRPr="003105A1">
        <w:rPr>
          <w:rFonts w:asciiTheme="minorBidi" w:hAnsiTheme="minorBidi" w:cstheme="minorBidi"/>
          <w:b/>
          <w:bCs/>
          <w:sz w:val="32"/>
          <w:szCs w:val="32"/>
          <w:shd w:val="clear" w:color="auto" w:fill="FFFFFF"/>
        </w:rPr>
        <w:t>The total assets of SCG, as of September 30, 2019, amounted to 611,503 MB, while 35% represented assets in ASEAN.</w:t>
      </w:r>
    </w:p>
    <w:p w:rsidR="009A1355" w:rsidRPr="003105A1" w:rsidRDefault="009A1355" w:rsidP="009A1355">
      <w:pPr>
        <w:pStyle w:val="NoSpacing"/>
        <w:ind w:firstLine="720"/>
        <w:jc w:val="thaiDistribute"/>
        <w:rPr>
          <w:rFonts w:asciiTheme="minorBidi" w:hAnsiTheme="minorBidi" w:cstheme="minorBidi"/>
          <w:b/>
          <w:bCs/>
          <w:sz w:val="32"/>
          <w:szCs w:val="32"/>
        </w:rPr>
      </w:pPr>
      <w:r w:rsidRPr="003105A1">
        <w:rPr>
          <w:rFonts w:asciiTheme="minorBidi" w:hAnsiTheme="minorBidi" w:cstheme="minorBidi"/>
          <w:b/>
          <w:bCs/>
          <w:sz w:val="32"/>
          <w:szCs w:val="32"/>
        </w:rPr>
        <w:t>The Q3/2019 and the first 9 months of 2019 Operating Results by business unit are as follows:</w:t>
      </w:r>
    </w:p>
    <w:p w:rsidR="009A1355" w:rsidRPr="003105A1" w:rsidRDefault="009A1355" w:rsidP="009A1355">
      <w:pPr>
        <w:shd w:val="clear" w:color="auto" w:fill="FFFFFF"/>
        <w:ind w:firstLine="720"/>
        <w:jc w:val="thaiDistribute"/>
        <w:rPr>
          <w:rFonts w:asciiTheme="minorBidi" w:hAnsiTheme="minorBidi" w:cstheme="minorBidi"/>
          <w:sz w:val="32"/>
          <w:szCs w:val="32"/>
          <w:cs/>
        </w:rPr>
      </w:pPr>
      <w:r w:rsidRPr="003105A1">
        <w:rPr>
          <w:rFonts w:asciiTheme="minorBidi" w:hAnsiTheme="minorBidi" w:cstheme="minorBidi"/>
          <w:b/>
          <w:bCs/>
          <w:sz w:val="32"/>
          <w:szCs w:val="32"/>
          <w:u w:val="single"/>
        </w:rPr>
        <w:t>Chemicals Business</w:t>
      </w:r>
      <w:r w:rsidRPr="003105A1">
        <w:rPr>
          <w:rFonts w:asciiTheme="minorBidi" w:hAnsiTheme="minorBidi" w:cstheme="minorBidi"/>
          <w:b/>
          <w:bCs/>
          <w:sz w:val="32"/>
          <w:szCs w:val="32"/>
        </w:rPr>
        <w:t xml:space="preserve"> </w:t>
      </w:r>
      <w:r w:rsidRPr="003105A1">
        <w:rPr>
          <w:rFonts w:asciiTheme="minorBidi" w:hAnsiTheme="minorBidi" w:cstheme="minorBidi"/>
          <w:sz w:val="32"/>
          <w:szCs w:val="32"/>
        </w:rPr>
        <w:t>recorded Q3/2019 Revenue from Sales of 44,048 MB, down 24% y-o-y and 4% q-o-q, owning to lower product prices. Profit for the Period totaled 3,247</w:t>
      </w:r>
      <w:r w:rsidRPr="003105A1">
        <w:rPr>
          <w:rFonts w:asciiTheme="minorBidi" w:hAnsiTheme="minorBidi" w:cstheme="minorBidi"/>
          <w:sz w:val="32"/>
          <w:szCs w:val="32"/>
          <w:cs/>
        </w:rPr>
        <w:t xml:space="preserve"> </w:t>
      </w:r>
      <w:r w:rsidRPr="003105A1">
        <w:rPr>
          <w:rFonts w:asciiTheme="minorBidi" w:hAnsiTheme="minorBidi" w:cstheme="minorBidi"/>
          <w:sz w:val="32"/>
          <w:szCs w:val="32"/>
        </w:rPr>
        <w:t>MB, fell by 57% y-o-y and 18%                q-o-q due to lower product margins and lower equity income mainly from the major turnaround of an associated company coupled with the Deferred Tax Assets reversal.</w:t>
      </w:r>
    </w:p>
    <w:p w:rsidR="009A1355" w:rsidRPr="003105A1" w:rsidRDefault="009A1355" w:rsidP="009A1355">
      <w:pPr>
        <w:shd w:val="clear" w:color="auto" w:fill="FFFFFF"/>
        <w:ind w:firstLine="720"/>
        <w:jc w:val="thaiDistribute"/>
        <w:rPr>
          <w:rFonts w:asciiTheme="minorBidi" w:hAnsiTheme="minorBidi" w:cstheme="minorBidi"/>
          <w:sz w:val="32"/>
          <w:szCs w:val="32"/>
        </w:rPr>
      </w:pPr>
      <w:r w:rsidRPr="003105A1">
        <w:rPr>
          <w:rFonts w:asciiTheme="minorBidi" w:hAnsiTheme="minorBidi" w:cstheme="minorBidi"/>
          <w:sz w:val="32"/>
          <w:szCs w:val="32"/>
        </w:rPr>
        <w:t>In the first 9 months of 2019, Chemicals Business recorded Revenue from Sales of 136,283 MB, a decrease of 19% y-o-y, attributable to lower product prices. Profit for the Period totaled 13,295</w:t>
      </w:r>
      <w:r w:rsidRPr="003105A1">
        <w:rPr>
          <w:rFonts w:asciiTheme="minorBidi" w:hAnsiTheme="minorBidi" w:cstheme="minorBidi"/>
          <w:sz w:val="32"/>
          <w:szCs w:val="32"/>
          <w:cs/>
        </w:rPr>
        <w:t xml:space="preserve"> </w:t>
      </w:r>
      <w:r w:rsidRPr="003105A1">
        <w:rPr>
          <w:rFonts w:asciiTheme="minorBidi" w:hAnsiTheme="minorBidi" w:cstheme="minorBidi"/>
          <w:sz w:val="32"/>
          <w:szCs w:val="32"/>
        </w:rPr>
        <w:t>MB, a drop of 44% y-o-y, due to lower product margins.</w:t>
      </w:r>
    </w:p>
    <w:p w:rsidR="009A1355" w:rsidRPr="003105A1" w:rsidRDefault="009A1355" w:rsidP="009A1355">
      <w:pPr>
        <w:ind w:firstLine="720"/>
        <w:jc w:val="thaiDistribute"/>
        <w:rPr>
          <w:rFonts w:asciiTheme="minorBidi" w:hAnsiTheme="minorBidi" w:cstheme="minorBidi"/>
          <w:sz w:val="32"/>
          <w:szCs w:val="32"/>
          <w:shd w:val="clear" w:color="auto" w:fill="FFFFFF"/>
        </w:rPr>
      </w:pPr>
      <w:r w:rsidRPr="003105A1">
        <w:rPr>
          <w:rFonts w:asciiTheme="minorBidi" w:hAnsiTheme="minorBidi" w:cstheme="minorBidi"/>
          <w:b/>
          <w:bCs/>
          <w:sz w:val="32"/>
          <w:szCs w:val="32"/>
          <w:u w:val="single"/>
          <w:shd w:val="clear" w:color="auto" w:fill="FFFFFF"/>
        </w:rPr>
        <w:t>Cement-Building Materials Business</w:t>
      </w:r>
      <w:r w:rsidRPr="003105A1">
        <w:rPr>
          <w:rFonts w:asciiTheme="minorBidi" w:hAnsiTheme="minorBidi" w:cstheme="minorBidi"/>
          <w:sz w:val="32"/>
          <w:szCs w:val="32"/>
          <w:shd w:val="clear" w:color="auto" w:fill="FFFFFF"/>
        </w:rPr>
        <w:t xml:space="preserve"> recorded Q3/2019 Revenue from Sales of </w:t>
      </w:r>
      <w:r w:rsidRPr="003105A1">
        <w:rPr>
          <w:rFonts w:ascii="Cordia New" w:hAnsi="Cordia New" w:cs="Cordia New"/>
          <w:sz w:val="32"/>
          <w:szCs w:val="32"/>
        </w:rPr>
        <w:t>45,317</w:t>
      </w:r>
      <w:r w:rsidRPr="003105A1">
        <w:rPr>
          <w:rFonts w:asciiTheme="minorBidi" w:hAnsiTheme="minorBidi" w:cstheme="minorBidi"/>
          <w:sz w:val="32"/>
          <w:szCs w:val="32"/>
          <w:shd w:val="clear" w:color="auto" w:fill="FFFFFF"/>
        </w:rPr>
        <w:t xml:space="preserve"> MB, down 2% y-o-y and 1% q-o-q, as a result of weak demand of regional ceramics market. Profit for the Period totaled </w:t>
      </w:r>
      <w:r w:rsidRPr="003105A1">
        <w:rPr>
          <w:rFonts w:ascii="Cordia New" w:hAnsi="Cordia New" w:cs="Cordia New"/>
          <w:sz w:val="32"/>
          <w:szCs w:val="32"/>
        </w:rPr>
        <w:t>888</w:t>
      </w:r>
      <w:r w:rsidRPr="003105A1">
        <w:rPr>
          <w:rFonts w:asciiTheme="minorBidi" w:hAnsiTheme="minorBidi" w:cstheme="minorBidi"/>
          <w:sz w:val="32"/>
          <w:szCs w:val="32"/>
          <w:shd w:val="clear" w:color="auto" w:fill="FFFFFF"/>
        </w:rPr>
        <w:t xml:space="preserve"> MB, up 235% y-o-y and 2% q-o-q due to the severance pay adjustment in Q2/2019.</w:t>
      </w:r>
    </w:p>
    <w:p w:rsidR="009A1355" w:rsidRPr="003105A1" w:rsidRDefault="009A1355" w:rsidP="009A1355">
      <w:pPr>
        <w:ind w:firstLine="720"/>
        <w:jc w:val="thaiDistribute"/>
        <w:rPr>
          <w:rFonts w:asciiTheme="minorBidi" w:hAnsiTheme="minorBidi" w:cstheme="minorBidi"/>
          <w:sz w:val="32"/>
          <w:szCs w:val="32"/>
        </w:rPr>
      </w:pPr>
      <w:r w:rsidRPr="003105A1">
        <w:rPr>
          <w:rFonts w:asciiTheme="minorBidi" w:hAnsiTheme="minorBidi" w:cstheme="minorBidi"/>
          <w:sz w:val="32"/>
          <w:szCs w:val="32"/>
        </w:rPr>
        <w:t xml:space="preserve">In the first 9 months of 2019, Cement-Building Materials Business recorded Revenue from Sales of </w:t>
      </w:r>
      <w:r w:rsidRPr="003105A1">
        <w:rPr>
          <w:rFonts w:ascii="Cordia New" w:hAnsi="Cordia New" w:cs="Cordia New"/>
          <w:sz w:val="32"/>
          <w:szCs w:val="32"/>
        </w:rPr>
        <w:t>139,555</w:t>
      </w:r>
      <w:r w:rsidRPr="003105A1">
        <w:rPr>
          <w:rFonts w:ascii="Cordia New" w:hAnsi="Cordia New" w:cs="Cordia New" w:hint="cs"/>
          <w:sz w:val="32"/>
          <w:szCs w:val="32"/>
          <w:cs/>
        </w:rPr>
        <w:t xml:space="preserve"> </w:t>
      </w:r>
      <w:r w:rsidRPr="003105A1">
        <w:rPr>
          <w:rFonts w:asciiTheme="minorBidi" w:hAnsiTheme="minorBidi" w:cstheme="minorBidi"/>
          <w:sz w:val="32"/>
          <w:szCs w:val="32"/>
        </w:rPr>
        <w:t xml:space="preserve">MB, an increase of 2% y-o-y, owing to the growth of the distribution and retail businesses. Profit for the Period totaled </w:t>
      </w:r>
      <w:r w:rsidRPr="003105A1">
        <w:rPr>
          <w:rFonts w:ascii="Cordia New" w:hAnsi="Cordia New" w:cs="Cordia New"/>
          <w:sz w:val="32"/>
          <w:szCs w:val="32"/>
        </w:rPr>
        <w:t>4,801</w:t>
      </w:r>
      <w:r w:rsidRPr="003105A1">
        <w:rPr>
          <w:rFonts w:asciiTheme="minorBidi" w:hAnsiTheme="minorBidi" w:cstheme="minorBidi"/>
          <w:sz w:val="32"/>
          <w:szCs w:val="32"/>
        </w:rPr>
        <w:t xml:space="preserve"> MB, representing an upturn of 8% y-o-y.</w:t>
      </w:r>
    </w:p>
    <w:p w:rsidR="009A1355" w:rsidRPr="003105A1" w:rsidRDefault="009A1355" w:rsidP="009A1355">
      <w:pPr>
        <w:ind w:firstLine="720"/>
        <w:jc w:val="thaiDistribute"/>
        <w:rPr>
          <w:rFonts w:asciiTheme="minorBidi" w:hAnsiTheme="minorBidi" w:cstheme="minorBidi"/>
          <w:sz w:val="32"/>
          <w:szCs w:val="32"/>
          <w:shd w:val="clear" w:color="auto" w:fill="FFFFFF"/>
        </w:rPr>
      </w:pPr>
      <w:r w:rsidRPr="003105A1">
        <w:rPr>
          <w:rStyle w:val="Strong"/>
          <w:rFonts w:asciiTheme="minorBidi" w:hAnsiTheme="minorBidi" w:cstheme="minorBidi"/>
          <w:sz w:val="32"/>
          <w:szCs w:val="32"/>
          <w:u w:val="single"/>
        </w:rPr>
        <w:t>Packaging Business</w:t>
      </w:r>
      <w:r w:rsidRPr="003105A1">
        <w:rPr>
          <w:rStyle w:val="apple-converted-space"/>
          <w:rFonts w:asciiTheme="minorBidi" w:hAnsiTheme="minorBidi" w:cstheme="minorBidi"/>
          <w:sz w:val="32"/>
          <w:szCs w:val="32"/>
          <w:shd w:val="clear" w:color="auto" w:fill="FFFFFF"/>
        </w:rPr>
        <w:t> </w:t>
      </w:r>
      <w:r w:rsidRPr="003105A1">
        <w:rPr>
          <w:rFonts w:asciiTheme="minorBidi" w:hAnsiTheme="minorBidi" w:cstheme="minorBidi"/>
          <w:sz w:val="32"/>
          <w:szCs w:val="32"/>
          <w:shd w:val="clear" w:color="auto" w:fill="FFFFFF"/>
        </w:rPr>
        <w:t xml:space="preserve">recorded Q3/2019 Revenue from Sales of </w:t>
      </w:r>
      <w:r w:rsidRPr="003105A1">
        <w:rPr>
          <w:rFonts w:asciiTheme="minorBidi" w:hAnsiTheme="minorBidi" w:cstheme="minorBidi"/>
          <w:sz w:val="32"/>
          <w:szCs w:val="32"/>
        </w:rPr>
        <w:t>24,445</w:t>
      </w:r>
      <w:r w:rsidRPr="003105A1">
        <w:rPr>
          <w:rFonts w:asciiTheme="minorBidi" w:hAnsiTheme="minorBidi" w:cstheme="minorBidi"/>
          <w:sz w:val="32"/>
          <w:szCs w:val="32"/>
          <w:cs/>
        </w:rPr>
        <w:t xml:space="preserve"> </w:t>
      </w:r>
      <w:r w:rsidRPr="003105A1">
        <w:rPr>
          <w:rFonts w:asciiTheme="minorBidi" w:hAnsiTheme="minorBidi" w:cstheme="minorBidi"/>
          <w:sz w:val="32"/>
          <w:szCs w:val="32"/>
          <w:shd w:val="clear" w:color="auto" w:fill="FFFFFF"/>
        </w:rPr>
        <w:t xml:space="preserve"> MB, a rise of 10% y-o-y and 20% q-o-q, mainly from the consolidated performance of the newly acquired companies (PT Fajar Surya </w:t>
      </w:r>
      <w:proofErr w:type="spellStart"/>
      <w:r w:rsidRPr="003105A1">
        <w:rPr>
          <w:rFonts w:asciiTheme="minorBidi" w:hAnsiTheme="minorBidi" w:cstheme="minorBidi"/>
          <w:sz w:val="32"/>
          <w:szCs w:val="32"/>
          <w:shd w:val="clear" w:color="auto" w:fill="FFFFFF"/>
        </w:rPr>
        <w:t>Wisesa</w:t>
      </w:r>
      <w:proofErr w:type="spellEnd"/>
      <w:r w:rsidRPr="003105A1">
        <w:rPr>
          <w:rFonts w:asciiTheme="minorBidi" w:hAnsiTheme="minorBidi" w:cstheme="minorBidi"/>
          <w:sz w:val="32"/>
          <w:szCs w:val="32"/>
          <w:shd w:val="clear" w:color="auto" w:fill="FFFFFF"/>
        </w:rPr>
        <w:t xml:space="preserve"> </w:t>
      </w:r>
      <w:proofErr w:type="spellStart"/>
      <w:r w:rsidRPr="003105A1">
        <w:rPr>
          <w:rFonts w:asciiTheme="minorBidi" w:hAnsiTheme="minorBidi" w:cstheme="minorBidi"/>
          <w:sz w:val="32"/>
          <w:szCs w:val="32"/>
          <w:shd w:val="clear" w:color="auto" w:fill="FFFFFF"/>
        </w:rPr>
        <w:t>Tbk</w:t>
      </w:r>
      <w:proofErr w:type="spellEnd"/>
      <w:r w:rsidRPr="003105A1">
        <w:rPr>
          <w:rFonts w:asciiTheme="minorBidi" w:hAnsiTheme="minorBidi" w:cstheme="minorBidi"/>
          <w:sz w:val="32"/>
          <w:szCs w:val="32"/>
          <w:shd w:val="clear" w:color="auto" w:fill="FFFFFF"/>
        </w:rPr>
        <w:t xml:space="preserve"> and Visy Packaging (Thailand) Limited). Profit for the Period stood at </w:t>
      </w:r>
      <w:r w:rsidRPr="003105A1">
        <w:rPr>
          <w:rFonts w:asciiTheme="minorBidi" w:hAnsiTheme="minorBidi" w:cstheme="minorBidi"/>
          <w:sz w:val="32"/>
          <w:szCs w:val="32"/>
        </w:rPr>
        <w:t>1,527</w:t>
      </w:r>
      <w:r w:rsidRPr="003105A1">
        <w:rPr>
          <w:rFonts w:asciiTheme="minorBidi" w:hAnsiTheme="minorBidi" w:cstheme="minorBidi"/>
          <w:sz w:val="32"/>
          <w:szCs w:val="32"/>
          <w:shd w:val="clear" w:color="auto" w:fill="FFFFFF"/>
        </w:rPr>
        <w:t xml:space="preserve"> MB, a drop of 11% y-o-y resulting from higher financial costs but a growth of 47% q-o-q.</w:t>
      </w:r>
    </w:p>
    <w:p w:rsidR="009A1355" w:rsidRPr="003105A1" w:rsidRDefault="009A1355" w:rsidP="009A1355">
      <w:pPr>
        <w:ind w:firstLine="720"/>
        <w:jc w:val="thaiDistribute"/>
        <w:rPr>
          <w:rFonts w:asciiTheme="minorBidi" w:hAnsiTheme="minorBidi" w:cstheme="minorBidi"/>
          <w:sz w:val="32"/>
          <w:szCs w:val="32"/>
        </w:rPr>
      </w:pPr>
      <w:r w:rsidRPr="003105A1">
        <w:rPr>
          <w:rFonts w:asciiTheme="minorBidi" w:hAnsiTheme="minorBidi" w:cstheme="minorBidi"/>
          <w:sz w:val="32"/>
          <w:szCs w:val="32"/>
        </w:rPr>
        <w:t>In the first 9 months of 2019, Packaging Business recorded Revenue from Sales of 65,974 MB, similar to the same period of last year. Profit for the Period totaled 4,245 MB, a decrease of 12% y-o-y.</w:t>
      </w:r>
    </w:p>
    <w:p w:rsidR="009A1355" w:rsidRPr="003105A1" w:rsidRDefault="009A1355" w:rsidP="009A1355">
      <w:pPr>
        <w:pStyle w:val="NoSpacing"/>
        <w:ind w:firstLine="720"/>
        <w:jc w:val="thaiDistribute"/>
        <w:rPr>
          <w:rFonts w:asciiTheme="minorBidi" w:hAnsiTheme="minorBidi" w:cstheme="minorBidi"/>
          <w:sz w:val="32"/>
          <w:szCs w:val="32"/>
        </w:rPr>
      </w:pPr>
      <w:r w:rsidRPr="003105A1">
        <w:rPr>
          <w:rFonts w:asciiTheme="minorBidi" w:eastAsia="Times New Roman" w:hAnsiTheme="minorBidi" w:cstheme="minorBidi"/>
          <w:sz w:val="32"/>
          <w:szCs w:val="32"/>
        </w:rPr>
        <w:t xml:space="preserve">Mr. Roongrote said, "Even though the SCG's operating results of Q3/2019 and the first 9 months of 2018 were affected by the reduced profits of Chemicals Business due to the impact of petrochemical low cycle, lower product margins and profits from the major turnaround of an associated company, Chemicals Business has placed a considerable emphasis on research and development of innovative and High Value-Added Products &amp; Services, especially the products developed to fit the Circular Economy principles to support the global market demands. SCG recently showcased its plastic innovations for sustainability, </w:t>
      </w:r>
      <w:r w:rsidRPr="003105A1">
        <w:rPr>
          <w:rFonts w:asciiTheme="minorBidi" w:eastAsia="Times New Roman" w:hAnsiTheme="minorBidi" w:cstheme="minorBidi"/>
          <w:sz w:val="32"/>
          <w:szCs w:val="32"/>
        </w:rPr>
        <w:lastRenderedPageBreak/>
        <w:t>themed under "Passion for a Better World," at K2019, the world's largest trade fair for plastic and rubber held in Germany. The exhibited innovations include superior strength polyethylene resins by SCG's breakthrough SMX</w:t>
      </w:r>
      <w:r w:rsidRPr="003105A1">
        <w:rPr>
          <w:rFonts w:asciiTheme="minorBidi" w:eastAsia="Times New Roman" w:hAnsiTheme="minorBidi" w:cstheme="minorBidi"/>
          <w:sz w:val="32"/>
          <w:szCs w:val="32"/>
          <w:vertAlign w:val="superscript"/>
        </w:rPr>
        <w:t>TM</w:t>
      </w:r>
      <w:r w:rsidRPr="003105A1">
        <w:rPr>
          <w:rFonts w:asciiTheme="minorBidi" w:eastAsia="Times New Roman" w:hAnsiTheme="minorBidi" w:cstheme="minorBidi"/>
          <w:sz w:val="32"/>
          <w:szCs w:val="32"/>
        </w:rPr>
        <w:t xml:space="preserve"> technology which minimizes material consumption, the eco-friendly recyclability "Mono-Material Packaging," and plastic resins made of the mixture of special-grade SCG plastic resins and the Post-Consumer Recycled Resin (PRC), along with SCG service solutions offering cost management and operational efficiency enhancement to boost business's capabilities and competitiveness.</w:t>
      </w:r>
    </w:p>
    <w:p w:rsidR="009A1355" w:rsidRPr="003105A1" w:rsidRDefault="009A1355" w:rsidP="009A1355">
      <w:pPr>
        <w:pStyle w:val="NoSpacing"/>
        <w:ind w:firstLine="720"/>
        <w:jc w:val="thaiDistribute"/>
        <w:rPr>
          <w:rFonts w:asciiTheme="minorBidi" w:hAnsiTheme="minorBidi" w:cstheme="minorBidi"/>
          <w:b/>
          <w:bCs/>
          <w:i/>
          <w:iCs/>
          <w:sz w:val="32"/>
          <w:szCs w:val="32"/>
        </w:rPr>
      </w:pPr>
      <w:r w:rsidRPr="003105A1">
        <w:rPr>
          <w:rFonts w:asciiTheme="minorBidi" w:hAnsiTheme="minorBidi" w:cstheme="minorBidi"/>
          <w:sz w:val="32"/>
          <w:szCs w:val="32"/>
          <w:shd w:val="clear" w:color="auto" w:fill="FFFFFF"/>
        </w:rPr>
        <w:t>Meanwhile, Cement-Building Materials Business has remained instrumental in generating revenue for SCG despite relatively regional weaker ceramics markets. However, SCG instills a heightened focus on accelerating retail and distribution businesses, providing customers with greater access to innovative products and services and diverse solutions effortlessly. In addition, SCG also develops Construction Solutions to enhance efficiency and provide comprehensive solutions to construction needs as well as strengthening Thailand’s construction industry.</w:t>
      </w:r>
    </w:p>
    <w:p w:rsidR="00F31EFC" w:rsidRPr="003105A1" w:rsidRDefault="00B910A3" w:rsidP="00FA509E">
      <w:pPr>
        <w:pStyle w:val="NoSpacing"/>
        <w:ind w:firstLine="720"/>
        <w:jc w:val="thaiDistribute"/>
        <w:rPr>
          <w:rFonts w:asciiTheme="minorBidi" w:hAnsiTheme="minorBidi" w:cstheme="minorBidi"/>
          <w:sz w:val="32"/>
          <w:szCs w:val="32"/>
          <w:cs/>
        </w:rPr>
      </w:pPr>
      <w:r w:rsidRPr="003105A1">
        <w:rPr>
          <w:rFonts w:asciiTheme="minorBidi" w:hAnsiTheme="minorBidi" w:cstheme="minorBidi"/>
          <w:sz w:val="32"/>
          <w:szCs w:val="32"/>
        </w:rPr>
        <w:t>Packaging Business has a significant potential growth particularly in ASEAN</w:t>
      </w:r>
      <w:r w:rsidRPr="003105A1">
        <w:rPr>
          <w:rFonts w:asciiTheme="minorBidi" w:hAnsiTheme="minorBidi" w:cstheme="minorBidi" w:hint="cs"/>
          <w:sz w:val="32"/>
          <w:szCs w:val="32"/>
          <w:cs/>
        </w:rPr>
        <w:t>.</w:t>
      </w:r>
      <w:r w:rsidRPr="003105A1">
        <w:rPr>
          <w:rFonts w:asciiTheme="minorBidi" w:hAnsiTheme="minorBidi" w:cstheme="minorBidi"/>
          <w:sz w:val="32"/>
          <w:szCs w:val="32"/>
        </w:rPr>
        <w:t xml:space="preserve"> In order to capture market opportunities and strengthen the growth potentials of our Packaging Business, </w:t>
      </w:r>
      <w:r w:rsidR="00B56E1E" w:rsidRPr="003105A1">
        <w:rPr>
          <w:rFonts w:asciiTheme="minorBidi" w:hAnsiTheme="minorBidi"/>
          <w:sz w:val="32"/>
          <w:szCs w:val="32"/>
        </w:rPr>
        <w:t>SCG approves of</w:t>
      </w:r>
      <w:r w:rsidR="002040CA" w:rsidRPr="003105A1">
        <w:rPr>
          <w:rFonts w:asciiTheme="minorBidi" w:hAnsiTheme="minorBidi" w:hint="cs"/>
          <w:sz w:val="32"/>
          <w:szCs w:val="32"/>
          <w:cs/>
        </w:rPr>
        <w:t xml:space="preserve"> </w:t>
      </w:r>
      <w:r w:rsidR="00B56E1E" w:rsidRPr="003105A1">
        <w:rPr>
          <w:rFonts w:asciiTheme="minorBidi" w:hAnsiTheme="minorBidi"/>
          <w:sz w:val="32"/>
          <w:szCs w:val="32"/>
        </w:rPr>
        <w:t>SCGP’s plans to list its newly issued ordinary shares on the SET.</w:t>
      </w:r>
      <w:r w:rsidR="00B56E1E" w:rsidRPr="003105A1">
        <w:rPr>
          <w:rFonts w:asciiTheme="minorBidi" w:hAnsiTheme="minorBidi" w:cstheme="minorBidi"/>
          <w:sz w:val="32"/>
          <w:szCs w:val="32"/>
        </w:rPr>
        <w:t xml:space="preserve"> </w:t>
      </w:r>
      <w:r w:rsidRPr="003105A1">
        <w:rPr>
          <w:rFonts w:asciiTheme="minorBidi" w:hAnsiTheme="minorBidi" w:cstheme="minorBidi"/>
          <w:sz w:val="32"/>
          <w:szCs w:val="32"/>
        </w:rPr>
        <w:t>The portion of the shares to be offered for sale in the IPO will not exceed 30% of SCGP's paid-up capital after its capital increase, whereby the proceeds from the contemplated offering will be primarily used by SCGP for investment in business expansions domestically and internationally, as well as for capital structure improvements.  Following the IPO, SCG</w:t>
      </w:r>
      <w:r w:rsidRPr="003105A1">
        <w:rPr>
          <w:rFonts w:asciiTheme="minorBidi" w:hAnsiTheme="minorBidi" w:cstheme="minorBidi" w:hint="cs"/>
          <w:sz w:val="32"/>
          <w:szCs w:val="32"/>
          <w:cs/>
        </w:rPr>
        <w:t xml:space="preserve"> </w:t>
      </w:r>
      <w:r w:rsidR="00B56E1E" w:rsidRPr="003105A1">
        <w:rPr>
          <w:rFonts w:asciiTheme="minorBidi" w:hAnsiTheme="minorBidi" w:cstheme="minorBidi"/>
          <w:sz w:val="32"/>
          <w:szCs w:val="32"/>
        </w:rPr>
        <w:t xml:space="preserve">will remain </w:t>
      </w:r>
      <w:r w:rsidRPr="003105A1">
        <w:rPr>
          <w:rFonts w:asciiTheme="minorBidi" w:hAnsiTheme="minorBidi" w:cstheme="minorBidi"/>
          <w:sz w:val="32"/>
          <w:szCs w:val="32"/>
        </w:rPr>
        <w:t>the major and controlling shareholder of SCGP, holding not less than 70% of SCGP's paid-up capital, after its capital increase, while SCGP will remain SCG's subsidiary. This transformative transaction for SCGP is also expected to generate benefits and maximize value for SCG in the long run.</w:t>
      </w:r>
      <w:r w:rsidR="004C0C8B" w:rsidRPr="003105A1">
        <w:rPr>
          <w:rFonts w:asciiTheme="minorBidi" w:hAnsiTheme="minorBidi" w:cstheme="minorBidi"/>
          <w:sz w:val="32"/>
          <w:szCs w:val="32"/>
        </w:rPr>
        <w:t>”</w:t>
      </w:r>
      <w:r w:rsidR="0052698B" w:rsidRPr="003105A1">
        <w:rPr>
          <w:rFonts w:asciiTheme="minorBidi" w:hAnsiTheme="minorBidi" w:cstheme="minorBidi" w:hint="cs"/>
          <w:sz w:val="32"/>
          <w:szCs w:val="32"/>
          <w:cs/>
        </w:rPr>
        <w:t xml:space="preserve"> </w:t>
      </w:r>
      <w:r w:rsidR="000F4385" w:rsidRPr="003105A1">
        <w:rPr>
          <w:rFonts w:asciiTheme="minorBidi" w:hAnsiTheme="minorBidi" w:cstheme="minorBidi"/>
          <w:sz w:val="32"/>
          <w:szCs w:val="32"/>
        </w:rPr>
        <w:t>Mr. Roongrote concluded.</w:t>
      </w:r>
    </w:p>
    <w:p w:rsidR="00CE1334" w:rsidRPr="003105A1" w:rsidRDefault="00CE1334" w:rsidP="00FA509E">
      <w:pPr>
        <w:pStyle w:val="NoSpacing"/>
        <w:jc w:val="thaiDistribute"/>
        <w:rPr>
          <w:rFonts w:asciiTheme="minorBidi" w:hAnsiTheme="minorBidi" w:cstheme="minorBidi"/>
          <w:sz w:val="32"/>
          <w:szCs w:val="32"/>
        </w:rPr>
      </w:pPr>
    </w:p>
    <w:p w:rsidR="00E5298F" w:rsidRPr="003105A1" w:rsidRDefault="00E5298F" w:rsidP="00FA509E">
      <w:pPr>
        <w:pStyle w:val="NoSpacing"/>
        <w:jc w:val="center"/>
        <w:rPr>
          <w:rFonts w:asciiTheme="minorBidi" w:hAnsiTheme="minorBidi" w:cstheme="minorBidi"/>
          <w:sz w:val="32"/>
          <w:szCs w:val="32"/>
        </w:rPr>
      </w:pPr>
      <w:r w:rsidRPr="003105A1">
        <w:rPr>
          <w:rFonts w:asciiTheme="minorBidi" w:hAnsiTheme="minorBidi" w:cstheme="minorBidi"/>
          <w:sz w:val="32"/>
          <w:szCs w:val="32"/>
        </w:rPr>
        <w:t>******************************************</w:t>
      </w:r>
    </w:p>
    <w:p w:rsidR="00B56E1E" w:rsidRPr="003105A1" w:rsidRDefault="00B56E1E" w:rsidP="00FA509E">
      <w:pPr>
        <w:pStyle w:val="NoSpacing"/>
        <w:jc w:val="thaiDistribute"/>
        <w:rPr>
          <w:rFonts w:asciiTheme="minorBidi" w:hAnsiTheme="minorBidi" w:cstheme="minorBidi"/>
          <w:sz w:val="32"/>
          <w:szCs w:val="32"/>
        </w:rPr>
      </w:pPr>
    </w:p>
    <w:p w:rsidR="00B56E1E" w:rsidRPr="003105A1" w:rsidRDefault="00B56E1E" w:rsidP="00FA509E">
      <w:pPr>
        <w:pStyle w:val="NoSpacing"/>
        <w:ind w:firstLine="720"/>
        <w:jc w:val="thaiDistribute"/>
        <w:rPr>
          <w:rFonts w:asciiTheme="minorBidi" w:hAnsiTheme="minorBidi"/>
          <w:i/>
          <w:iCs/>
          <w:sz w:val="28"/>
        </w:rPr>
      </w:pPr>
      <w:r w:rsidRPr="003105A1">
        <w:rPr>
          <w:rFonts w:asciiTheme="minorBidi" w:hAnsiTheme="minorBidi"/>
          <w:i/>
          <w:iCs/>
          <w:sz w:val="28"/>
        </w:rPr>
        <w:t>This news release is not for release, publication or distribution, directly or indirectly, in or into the United States.</w:t>
      </w:r>
    </w:p>
    <w:p w:rsidR="00B56E1E" w:rsidRPr="003105A1" w:rsidRDefault="00B56E1E" w:rsidP="00FA509E">
      <w:pPr>
        <w:pStyle w:val="NoSpacing"/>
        <w:ind w:firstLine="720"/>
        <w:jc w:val="thaiDistribute"/>
        <w:rPr>
          <w:rFonts w:asciiTheme="minorBidi" w:hAnsiTheme="minorBidi"/>
          <w:i/>
          <w:iCs/>
          <w:sz w:val="28"/>
          <w:cs/>
        </w:rPr>
      </w:pPr>
      <w:r w:rsidRPr="003105A1">
        <w:rPr>
          <w:rFonts w:asciiTheme="minorBidi" w:hAnsiTheme="minorBidi"/>
          <w:i/>
          <w:iCs/>
          <w:sz w:val="28"/>
        </w:rPr>
        <w:t>This news release and its contents shall not constitute an offer to sell or the solicitation of an offer to buy any securities in the United States or in any other jurisdiction in which such offer, solicitation or sale would be unlawful. The securities referred to herein have not been and will not be registered under the U.S. Securities Act of 1933, as amended (the "U.S. Securities Act") or the laws of any state in the United States, and may not be offered or sold within the United States absent registration or an exemption from the registration requirements of the U.S. Securities Act and applicable state laws. There is no intention to register any portion of the contemplated offering or any securities described herein in the United States or to conduct a public offering of securities in the United States.</w:t>
      </w:r>
    </w:p>
    <w:p w:rsidR="00B56E1E" w:rsidRPr="003105A1" w:rsidRDefault="00B56E1E" w:rsidP="00FA509E">
      <w:pPr>
        <w:pStyle w:val="NoSpacing"/>
        <w:jc w:val="thaiDistribute"/>
        <w:rPr>
          <w:rFonts w:asciiTheme="minorBidi" w:hAnsiTheme="minorBidi" w:cstheme="minorBidi"/>
          <w:sz w:val="32"/>
          <w:szCs w:val="32"/>
        </w:rPr>
      </w:pPr>
    </w:p>
    <w:sectPr w:rsidR="00B56E1E" w:rsidRPr="003105A1" w:rsidSect="0046794F">
      <w:headerReference w:type="default" r:id="rId9"/>
      <w:pgSz w:w="11906" w:h="16838"/>
      <w:pgMar w:top="1418" w:right="926" w:bottom="568" w:left="990" w:header="142" w:footer="4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6F8" w:rsidRDefault="005676F8" w:rsidP="001A0A77">
      <w:r>
        <w:separator/>
      </w:r>
    </w:p>
  </w:endnote>
  <w:endnote w:type="continuationSeparator" w:id="0">
    <w:p w:rsidR="005676F8" w:rsidRDefault="005676F8" w:rsidP="001A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6F8" w:rsidRDefault="005676F8" w:rsidP="001A0A77">
      <w:r>
        <w:separator/>
      </w:r>
    </w:p>
  </w:footnote>
  <w:footnote w:type="continuationSeparator" w:id="0">
    <w:p w:rsidR="005676F8" w:rsidRDefault="005676F8" w:rsidP="001A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E1E" w:rsidRDefault="00B56E1E">
    <w:pPr>
      <w:pStyle w:val="Header"/>
    </w:pPr>
  </w:p>
  <w:p w:rsidR="00B56E1E" w:rsidRDefault="00B56E1E">
    <w:pPr>
      <w:pStyle w:val="Header"/>
    </w:pPr>
  </w:p>
  <w:p w:rsidR="00B56E1E" w:rsidRDefault="00B56E1E">
    <w:pPr>
      <w:pStyle w:val="Header"/>
    </w:pPr>
  </w:p>
  <w:p w:rsidR="00B56E1E" w:rsidRPr="00135312" w:rsidRDefault="00B56E1E" w:rsidP="00971EC9">
    <w:pPr>
      <w:pStyle w:val="Header"/>
      <w:jc w:val="right"/>
      <w:rPr>
        <w:rFonts w:asciiTheme="minorBidi" w:hAnsiTheme="minorBidi"/>
        <w:i/>
        <w:iCs/>
      </w:rPr>
    </w:pPr>
    <w:r w:rsidRPr="00135312">
      <w:rPr>
        <w:rFonts w:asciiTheme="minorBidi" w:hAnsiTheme="minorBidi"/>
        <w:i/>
        <w:iCs/>
        <w:highlight w:val="yellow"/>
      </w:rPr>
      <w:t>NOT FOR DISTRIBUTION INTO THE UNITED STATES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17D2F"/>
    <w:multiLevelType w:val="multilevel"/>
    <w:tmpl w:val="43C0A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upperLetter"/>
      <w:lvlText w:val="(%3)"/>
      <w:lvlJc w:val="left"/>
      <w:pPr>
        <w:ind w:left="2160" w:hanging="360"/>
      </w:pPr>
      <w:rPr>
        <w:rFonts w:hint="default"/>
      </w:rPr>
    </w:lvl>
    <w:lvl w:ilvl="3">
      <w:numFmt w:val="bullet"/>
      <w:lvlText w:val="-"/>
      <w:lvlJc w:val="left"/>
      <w:pPr>
        <w:ind w:left="2880" w:hanging="360"/>
      </w:pPr>
      <w:rPr>
        <w:rFonts w:ascii="Arial" w:eastAsia="Times New Roman" w:hAnsi="Arial" w:cs="Arial" w:hint="default"/>
        <w:b/>
        <w:u w:val="single"/>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8467CB"/>
    <w:multiLevelType w:val="hybridMultilevel"/>
    <w:tmpl w:val="7BA29C66"/>
    <w:lvl w:ilvl="0" w:tplc="001C79AE">
      <w:start w:val="1"/>
      <w:numFmt w:val="bullet"/>
      <w:lvlText w:val="-"/>
      <w:lvlJc w:val="left"/>
      <w:pPr>
        <w:ind w:left="1440" w:hanging="360"/>
      </w:pPr>
      <w:rPr>
        <w:rFonts w:ascii="Cordia New" w:eastAsia="Calibri" w:hAnsi="Cordia New" w:cs="Cordia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6C56EE6"/>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810B7"/>
    <w:multiLevelType w:val="hybridMultilevel"/>
    <w:tmpl w:val="03649508"/>
    <w:lvl w:ilvl="0" w:tplc="D5EAE9AC">
      <w:numFmt w:val="bullet"/>
      <w:lvlText w:val="-"/>
      <w:lvlJc w:val="left"/>
      <w:pPr>
        <w:ind w:left="720" w:hanging="360"/>
      </w:pPr>
      <w:rPr>
        <w:rFonts w:ascii="Calibri" w:eastAsia="Calibri" w:hAnsi="Calibri" w:cs="Calibri"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F533D3"/>
    <w:multiLevelType w:val="hybridMultilevel"/>
    <w:tmpl w:val="740A3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925EF4"/>
    <w:multiLevelType w:val="hybridMultilevel"/>
    <w:tmpl w:val="FDC0552E"/>
    <w:lvl w:ilvl="0" w:tplc="887A5B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DF8614C"/>
    <w:multiLevelType w:val="hybridMultilevel"/>
    <w:tmpl w:val="E13EA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07E2868"/>
    <w:multiLevelType w:val="hybridMultilevel"/>
    <w:tmpl w:val="3FA87F48"/>
    <w:lvl w:ilvl="0" w:tplc="C6D69A9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1533A83"/>
    <w:multiLevelType w:val="hybridMultilevel"/>
    <w:tmpl w:val="34D2EB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 w:numId="2">
    <w:abstractNumId w:va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1"/>
  </w:num>
  <w:num w:numId="7">
    <w:abstractNumId w:val="3"/>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F35"/>
    <w:rsid w:val="00002EAB"/>
    <w:rsid w:val="0000690A"/>
    <w:rsid w:val="00006E2C"/>
    <w:rsid w:val="00011D8E"/>
    <w:rsid w:val="00011F86"/>
    <w:rsid w:val="00013EF6"/>
    <w:rsid w:val="00014992"/>
    <w:rsid w:val="0001637A"/>
    <w:rsid w:val="000163D4"/>
    <w:rsid w:val="00016DD7"/>
    <w:rsid w:val="00020EA3"/>
    <w:rsid w:val="00021770"/>
    <w:rsid w:val="00021EA6"/>
    <w:rsid w:val="0002246C"/>
    <w:rsid w:val="0002710B"/>
    <w:rsid w:val="00027590"/>
    <w:rsid w:val="0003024F"/>
    <w:rsid w:val="00031033"/>
    <w:rsid w:val="0003226D"/>
    <w:rsid w:val="00033543"/>
    <w:rsid w:val="00033C1D"/>
    <w:rsid w:val="00034F2F"/>
    <w:rsid w:val="000357BF"/>
    <w:rsid w:val="000358DF"/>
    <w:rsid w:val="00035F7F"/>
    <w:rsid w:val="0003686C"/>
    <w:rsid w:val="0003786C"/>
    <w:rsid w:val="00037E2D"/>
    <w:rsid w:val="00040617"/>
    <w:rsid w:val="000419B3"/>
    <w:rsid w:val="000429C7"/>
    <w:rsid w:val="00042A60"/>
    <w:rsid w:val="000434BB"/>
    <w:rsid w:val="00043A22"/>
    <w:rsid w:val="00043A26"/>
    <w:rsid w:val="000509D1"/>
    <w:rsid w:val="00054A8D"/>
    <w:rsid w:val="0005610E"/>
    <w:rsid w:val="000579E0"/>
    <w:rsid w:val="00062061"/>
    <w:rsid w:val="000631AC"/>
    <w:rsid w:val="00063334"/>
    <w:rsid w:val="00063BD1"/>
    <w:rsid w:val="00064714"/>
    <w:rsid w:val="00066900"/>
    <w:rsid w:val="00067AE4"/>
    <w:rsid w:val="00070950"/>
    <w:rsid w:val="00071F2E"/>
    <w:rsid w:val="00072966"/>
    <w:rsid w:val="00072DBA"/>
    <w:rsid w:val="0007446B"/>
    <w:rsid w:val="00074621"/>
    <w:rsid w:val="00074AB3"/>
    <w:rsid w:val="00077686"/>
    <w:rsid w:val="00081BA8"/>
    <w:rsid w:val="00082756"/>
    <w:rsid w:val="000827D1"/>
    <w:rsid w:val="00083115"/>
    <w:rsid w:val="000910EE"/>
    <w:rsid w:val="000914F4"/>
    <w:rsid w:val="00091628"/>
    <w:rsid w:val="00094275"/>
    <w:rsid w:val="00095DBC"/>
    <w:rsid w:val="00096EB7"/>
    <w:rsid w:val="00097A4C"/>
    <w:rsid w:val="000A24C1"/>
    <w:rsid w:val="000A2945"/>
    <w:rsid w:val="000A2E05"/>
    <w:rsid w:val="000A3AD1"/>
    <w:rsid w:val="000A404B"/>
    <w:rsid w:val="000A545B"/>
    <w:rsid w:val="000A6398"/>
    <w:rsid w:val="000A67D3"/>
    <w:rsid w:val="000A7469"/>
    <w:rsid w:val="000B4506"/>
    <w:rsid w:val="000B6836"/>
    <w:rsid w:val="000B6CCE"/>
    <w:rsid w:val="000B7F9D"/>
    <w:rsid w:val="000C338B"/>
    <w:rsid w:val="000C4B9B"/>
    <w:rsid w:val="000C5CFB"/>
    <w:rsid w:val="000C694B"/>
    <w:rsid w:val="000D16BA"/>
    <w:rsid w:val="000D1CD5"/>
    <w:rsid w:val="000D1DF8"/>
    <w:rsid w:val="000D206D"/>
    <w:rsid w:val="000D427A"/>
    <w:rsid w:val="000D4BEC"/>
    <w:rsid w:val="000E13E8"/>
    <w:rsid w:val="000E2DB2"/>
    <w:rsid w:val="000E5A4F"/>
    <w:rsid w:val="000E6413"/>
    <w:rsid w:val="000F2A46"/>
    <w:rsid w:val="000F41FB"/>
    <w:rsid w:val="000F4385"/>
    <w:rsid w:val="000F5E81"/>
    <w:rsid w:val="000F7AD5"/>
    <w:rsid w:val="001002F4"/>
    <w:rsid w:val="0010050E"/>
    <w:rsid w:val="00100A6A"/>
    <w:rsid w:val="0010240A"/>
    <w:rsid w:val="0010382B"/>
    <w:rsid w:val="00103B00"/>
    <w:rsid w:val="00105E26"/>
    <w:rsid w:val="00107C32"/>
    <w:rsid w:val="00111808"/>
    <w:rsid w:val="001132BC"/>
    <w:rsid w:val="0011602F"/>
    <w:rsid w:val="0011653D"/>
    <w:rsid w:val="00121267"/>
    <w:rsid w:val="0012153D"/>
    <w:rsid w:val="001242E2"/>
    <w:rsid w:val="00125AFC"/>
    <w:rsid w:val="0013175A"/>
    <w:rsid w:val="00132CF0"/>
    <w:rsid w:val="00135312"/>
    <w:rsid w:val="00137013"/>
    <w:rsid w:val="0013704B"/>
    <w:rsid w:val="00137658"/>
    <w:rsid w:val="00140468"/>
    <w:rsid w:val="00141F9E"/>
    <w:rsid w:val="001421FB"/>
    <w:rsid w:val="001429F2"/>
    <w:rsid w:val="0014328C"/>
    <w:rsid w:val="00146FC9"/>
    <w:rsid w:val="00150406"/>
    <w:rsid w:val="00150D8C"/>
    <w:rsid w:val="00151613"/>
    <w:rsid w:val="00152189"/>
    <w:rsid w:val="001528A3"/>
    <w:rsid w:val="00156107"/>
    <w:rsid w:val="0016122B"/>
    <w:rsid w:val="00161B80"/>
    <w:rsid w:val="00162B35"/>
    <w:rsid w:val="001648E6"/>
    <w:rsid w:val="00164E9C"/>
    <w:rsid w:val="0016526F"/>
    <w:rsid w:val="00166C8C"/>
    <w:rsid w:val="00167A06"/>
    <w:rsid w:val="0017044A"/>
    <w:rsid w:val="00172FB4"/>
    <w:rsid w:val="00173F80"/>
    <w:rsid w:val="001766B8"/>
    <w:rsid w:val="001767D0"/>
    <w:rsid w:val="001770D3"/>
    <w:rsid w:val="001773C9"/>
    <w:rsid w:val="001809CC"/>
    <w:rsid w:val="0018138C"/>
    <w:rsid w:val="00182C9F"/>
    <w:rsid w:val="001838A8"/>
    <w:rsid w:val="0019532A"/>
    <w:rsid w:val="00197839"/>
    <w:rsid w:val="001A07F4"/>
    <w:rsid w:val="001A0A77"/>
    <w:rsid w:val="001A503C"/>
    <w:rsid w:val="001A7BC8"/>
    <w:rsid w:val="001B0961"/>
    <w:rsid w:val="001B1507"/>
    <w:rsid w:val="001B3371"/>
    <w:rsid w:val="001B4DC9"/>
    <w:rsid w:val="001C0C64"/>
    <w:rsid w:val="001C0DD0"/>
    <w:rsid w:val="001C1C25"/>
    <w:rsid w:val="001C1F8C"/>
    <w:rsid w:val="001C2A63"/>
    <w:rsid w:val="001C37DA"/>
    <w:rsid w:val="001C5BB0"/>
    <w:rsid w:val="001D00FB"/>
    <w:rsid w:val="001D049F"/>
    <w:rsid w:val="001D0B89"/>
    <w:rsid w:val="001D12E5"/>
    <w:rsid w:val="001D19CF"/>
    <w:rsid w:val="001D20C1"/>
    <w:rsid w:val="001D25CA"/>
    <w:rsid w:val="001D2D5D"/>
    <w:rsid w:val="001D2DC5"/>
    <w:rsid w:val="001D379B"/>
    <w:rsid w:val="001D3E86"/>
    <w:rsid w:val="001D42D0"/>
    <w:rsid w:val="001D5785"/>
    <w:rsid w:val="001D77AB"/>
    <w:rsid w:val="001E3A27"/>
    <w:rsid w:val="001E4901"/>
    <w:rsid w:val="001E5892"/>
    <w:rsid w:val="001E6FAA"/>
    <w:rsid w:val="001E76D5"/>
    <w:rsid w:val="001F08BE"/>
    <w:rsid w:val="001F1F23"/>
    <w:rsid w:val="001F3F35"/>
    <w:rsid w:val="001F4605"/>
    <w:rsid w:val="001F4638"/>
    <w:rsid w:val="001F56A8"/>
    <w:rsid w:val="001F6524"/>
    <w:rsid w:val="001F6C93"/>
    <w:rsid w:val="00202AF5"/>
    <w:rsid w:val="002040CA"/>
    <w:rsid w:val="002064DF"/>
    <w:rsid w:val="00211A8E"/>
    <w:rsid w:val="00211B85"/>
    <w:rsid w:val="002127B7"/>
    <w:rsid w:val="00214BE9"/>
    <w:rsid w:val="00214EF2"/>
    <w:rsid w:val="00214FBF"/>
    <w:rsid w:val="00215545"/>
    <w:rsid w:val="002163A2"/>
    <w:rsid w:val="00217DB7"/>
    <w:rsid w:val="00221A84"/>
    <w:rsid w:val="00222793"/>
    <w:rsid w:val="002234BD"/>
    <w:rsid w:val="00223FAB"/>
    <w:rsid w:val="00224DCE"/>
    <w:rsid w:val="00230E33"/>
    <w:rsid w:val="00232115"/>
    <w:rsid w:val="002322ED"/>
    <w:rsid w:val="00232DAC"/>
    <w:rsid w:val="00235485"/>
    <w:rsid w:val="00235A19"/>
    <w:rsid w:val="00245995"/>
    <w:rsid w:val="00251E5C"/>
    <w:rsid w:val="00252445"/>
    <w:rsid w:val="0025266F"/>
    <w:rsid w:val="002541CA"/>
    <w:rsid w:val="00255A66"/>
    <w:rsid w:val="00260371"/>
    <w:rsid w:val="00261430"/>
    <w:rsid w:val="002618A5"/>
    <w:rsid w:val="002620AF"/>
    <w:rsid w:val="00262975"/>
    <w:rsid w:val="00262E2D"/>
    <w:rsid w:val="002649FD"/>
    <w:rsid w:val="00264E08"/>
    <w:rsid w:val="0026540C"/>
    <w:rsid w:val="002655A1"/>
    <w:rsid w:val="00267681"/>
    <w:rsid w:val="002716E7"/>
    <w:rsid w:val="002747A7"/>
    <w:rsid w:val="00274FA8"/>
    <w:rsid w:val="00281A63"/>
    <w:rsid w:val="00284A09"/>
    <w:rsid w:val="00285952"/>
    <w:rsid w:val="00285971"/>
    <w:rsid w:val="0028662D"/>
    <w:rsid w:val="002867BE"/>
    <w:rsid w:val="0028728F"/>
    <w:rsid w:val="00290C04"/>
    <w:rsid w:val="00292E6E"/>
    <w:rsid w:val="002943B7"/>
    <w:rsid w:val="002953EF"/>
    <w:rsid w:val="002961E9"/>
    <w:rsid w:val="002963B1"/>
    <w:rsid w:val="00296649"/>
    <w:rsid w:val="002A005A"/>
    <w:rsid w:val="002A0E54"/>
    <w:rsid w:val="002A4A3B"/>
    <w:rsid w:val="002A7C79"/>
    <w:rsid w:val="002B0C7F"/>
    <w:rsid w:val="002B25CD"/>
    <w:rsid w:val="002B29CA"/>
    <w:rsid w:val="002B7A8C"/>
    <w:rsid w:val="002C2C35"/>
    <w:rsid w:val="002C5D21"/>
    <w:rsid w:val="002C65D5"/>
    <w:rsid w:val="002C7283"/>
    <w:rsid w:val="002C76F1"/>
    <w:rsid w:val="002C7A9C"/>
    <w:rsid w:val="002C7AC0"/>
    <w:rsid w:val="002C7D90"/>
    <w:rsid w:val="002D1096"/>
    <w:rsid w:val="002D1B6A"/>
    <w:rsid w:val="002D1C61"/>
    <w:rsid w:val="002D2A4F"/>
    <w:rsid w:val="002D2D3B"/>
    <w:rsid w:val="002D3302"/>
    <w:rsid w:val="002D3941"/>
    <w:rsid w:val="002D407F"/>
    <w:rsid w:val="002D4400"/>
    <w:rsid w:val="002D6BB0"/>
    <w:rsid w:val="002D6E3C"/>
    <w:rsid w:val="002E0A69"/>
    <w:rsid w:val="002F4CA2"/>
    <w:rsid w:val="002F5D2C"/>
    <w:rsid w:val="002F7C9C"/>
    <w:rsid w:val="002F7CD2"/>
    <w:rsid w:val="00303820"/>
    <w:rsid w:val="00305321"/>
    <w:rsid w:val="00305ED3"/>
    <w:rsid w:val="003079E8"/>
    <w:rsid w:val="003105A1"/>
    <w:rsid w:val="00310937"/>
    <w:rsid w:val="00310955"/>
    <w:rsid w:val="00312C05"/>
    <w:rsid w:val="003138D1"/>
    <w:rsid w:val="003139E8"/>
    <w:rsid w:val="003141A8"/>
    <w:rsid w:val="00314362"/>
    <w:rsid w:val="00314627"/>
    <w:rsid w:val="00315618"/>
    <w:rsid w:val="00321A81"/>
    <w:rsid w:val="00321C0A"/>
    <w:rsid w:val="003221A5"/>
    <w:rsid w:val="00322700"/>
    <w:rsid w:val="00322AF5"/>
    <w:rsid w:val="00322CBC"/>
    <w:rsid w:val="003232A6"/>
    <w:rsid w:val="00324874"/>
    <w:rsid w:val="0033173D"/>
    <w:rsid w:val="003323B9"/>
    <w:rsid w:val="003332CF"/>
    <w:rsid w:val="00333724"/>
    <w:rsid w:val="00334082"/>
    <w:rsid w:val="0033429C"/>
    <w:rsid w:val="00335FDF"/>
    <w:rsid w:val="00336927"/>
    <w:rsid w:val="0033713F"/>
    <w:rsid w:val="0033750C"/>
    <w:rsid w:val="003407A9"/>
    <w:rsid w:val="003408A8"/>
    <w:rsid w:val="00340F27"/>
    <w:rsid w:val="003433DC"/>
    <w:rsid w:val="00343419"/>
    <w:rsid w:val="003443EC"/>
    <w:rsid w:val="00351682"/>
    <w:rsid w:val="003518CC"/>
    <w:rsid w:val="0035491C"/>
    <w:rsid w:val="003579EA"/>
    <w:rsid w:val="00363FCC"/>
    <w:rsid w:val="00364148"/>
    <w:rsid w:val="003661B1"/>
    <w:rsid w:val="00366730"/>
    <w:rsid w:val="003667D2"/>
    <w:rsid w:val="00373A97"/>
    <w:rsid w:val="00374A50"/>
    <w:rsid w:val="00375D48"/>
    <w:rsid w:val="0037654A"/>
    <w:rsid w:val="003801EA"/>
    <w:rsid w:val="003805D0"/>
    <w:rsid w:val="00381003"/>
    <w:rsid w:val="00381259"/>
    <w:rsid w:val="00384B5C"/>
    <w:rsid w:val="003851ED"/>
    <w:rsid w:val="00386FCC"/>
    <w:rsid w:val="00390A8B"/>
    <w:rsid w:val="0039172B"/>
    <w:rsid w:val="00393056"/>
    <w:rsid w:val="00394EF9"/>
    <w:rsid w:val="003969DE"/>
    <w:rsid w:val="00397A71"/>
    <w:rsid w:val="003A07BC"/>
    <w:rsid w:val="003A0A6E"/>
    <w:rsid w:val="003A1068"/>
    <w:rsid w:val="003B2E27"/>
    <w:rsid w:val="003B43F4"/>
    <w:rsid w:val="003B48EE"/>
    <w:rsid w:val="003B5D19"/>
    <w:rsid w:val="003B637F"/>
    <w:rsid w:val="003B686F"/>
    <w:rsid w:val="003B6BE7"/>
    <w:rsid w:val="003C06F1"/>
    <w:rsid w:val="003C0814"/>
    <w:rsid w:val="003C247D"/>
    <w:rsid w:val="003C5556"/>
    <w:rsid w:val="003C656D"/>
    <w:rsid w:val="003C7CEF"/>
    <w:rsid w:val="003C7D2E"/>
    <w:rsid w:val="003D0688"/>
    <w:rsid w:val="003D18FA"/>
    <w:rsid w:val="003D3FBA"/>
    <w:rsid w:val="003D5BB0"/>
    <w:rsid w:val="003D5EBC"/>
    <w:rsid w:val="003D61B8"/>
    <w:rsid w:val="003E0404"/>
    <w:rsid w:val="003E06C7"/>
    <w:rsid w:val="003E0DB3"/>
    <w:rsid w:val="003E2BCB"/>
    <w:rsid w:val="003E2C49"/>
    <w:rsid w:val="003E2C4E"/>
    <w:rsid w:val="003E3356"/>
    <w:rsid w:val="003E49D2"/>
    <w:rsid w:val="003E4BF7"/>
    <w:rsid w:val="003E682F"/>
    <w:rsid w:val="003F060B"/>
    <w:rsid w:val="003F1169"/>
    <w:rsid w:val="003F3E33"/>
    <w:rsid w:val="003F4A9A"/>
    <w:rsid w:val="003F6A4F"/>
    <w:rsid w:val="003F7A39"/>
    <w:rsid w:val="00400CB0"/>
    <w:rsid w:val="004012A2"/>
    <w:rsid w:val="00406302"/>
    <w:rsid w:val="004073EA"/>
    <w:rsid w:val="00407748"/>
    <w:rsid w:val="00411115"/>
    <w:rsid w:val="00411679"/>
    <w:rsid w:val="00411E23"/>
    <w:rsid w:val="00412AE6"/>
    <w:rsid w:val="00413B22"/>
    <w:rsid w:val="00413B2D"/>
    <w:rsid w:val="004152BD"/>
    <w:rsid w:val="00416AD3"/>
    <w:rsid w:val="0041718E"/>
    <w:rsid w:val="00420537"/>
    <w:rsid w:val="00420672"/>
    <w:rsid w:val="00422DC3"/>
    <w:rsid w:val="004233F8"/>
    <w:rsid w:val="00423765"/>
    <w:rsid w:val="00424A7E"/>
    <w:rsid w:val="00425016"/>
    <w:rsid w:val="004252C8"/>
    <w:rsid w:val="00425AD8"/>
    <w:rsid w:val="00425D5C"/>
    <w:rsid w:val="0042602A"/>
    <w:rsid w:val="00427D19"/>
    <w:rsid w:val="00431AA1"/>
    <w:rsid w:val="0043318D"/>
    <w:rsid w:val="00435D15"/>
    <w:rsid w:val="00440EE6"/>
    <w:rsid w:val="0044585A"/>
    <w:rsid w:val="004462F5"/>
    <w:rsid w:val="00446CFF"/>
    <w:rsid w:val="00450A74"/>
    <w:rsid w:val="00452131"/>
    <w:rsid w:val="00452D62"/>
    <w:rsid w:val="00452FB8"/>
    <w:rsid w:val="00454BDA"/>
    <w:rsid w:val="004554B4"/>
    <w:rsid w:val="00457992"/>
    <w:rsid w:val="00461CCC"/>
    <w:rsid w:val="004651D5"/>
    <w:rsid w:val="00465A01"/>
    <w:rsid w:val="004667D3"/>
    <w:rsid w:val="0046794F"/>
    <w:rsid w:val="004707C8"/>
    <w:rsid w:val="00474385"/>
    <w:rsid w:val="00480361"/>
    <w:rsid w:val="00481E04"/>
    <w:rsid w:val="00487434"/>
    <w:rsid w:val="00490B4B"/>
    <w:rsid w:val="00491208"/>
    <w:rsid w:val="00493E3B"/>
    <w:rsid w:val="004940F5"/>
    <w:rsid w:val="004944FB"/>
    <w:rsid w:val="004953BC"/>
    <w:rsid w:val="004961EA"/>
    <w:rsid w:val="004A1E18"/>
    <w:rsid w:val="004A3426"/>
    <w:rsid w:val="004A6279"/>
    <w:rsid w:val="004A7A5F"/>
    <w:rsid w:val="004A7FB9"/>
    <w:rsid w:val="004B1013"/>
    <w:rsid w:val="004B2A17"/>
    <w:rsid w:val="004B4BAF"/>
    <w:rsid w:val="004B58A0"/>
    <w:rsid w:val="004B68FA"/>
    <w:rsid w:val="004B7378"/>
    <w:rsid w:val="004B78AE"/>
    <w:rsid w:val="004B7C3D"/>
    <w:rsid w:val="004B7FE8"/>
    <w:rsid w:val="004C0C8B"/>
    <w:rsid w:val="004C1265"/>
    <w:rsid w:val="004C16EE"/>
    <w:rsid w:val="004C1964"/>
    <w:rsid w:val="004C4237"/>
    <w:rsid w:val="004C4E84"/>
    <w:rsid w:val="004C6ADF"/>
    <w:rsid w:val="004C6FCD"/>
    <w:rsid w:val="004D117D"/>
    <w:rsid w:val="004D1603"/>
    <w:rsid w:val="004D45AA"/>
    <w:rsid w:val="004D57AD"/>
    <w:rsid w:val="004D5B30"/>
    <w:rsid w:val="004D5F3D"/>
    <w:rsid w:val="004D735F"/>
    <w:rsid w:val="004D7CC4"/>
    <w:rsid w:val="004E1545"/>
    <w:rsid w:val="004E306D"/>
    <w:rsid w:val="004E389D"/>
    <w:rsid w:val="004E39AF"/>
    <w:rsid w:val="004E446E"/>
    <w:rsid w:val="004E5B3E"/>
    <w:rsid w:val="004F1857"/>
    <w:rsid w:val="004F1E0D"/>
    <w:rsid w:val="004F390A"/>
    <w:rsid w:val="004F6972"/>
    <w:rsid w:val="004F697F"/>
    <w:rsid w:val="0050058D"/>
    <w:rsid w:val="00501CDF"/>
    <w:rsid w:val="005035E5"/>
    <w:rsid w:val="00505328"/>
    <w:rsid w:val="00505ACA"/>
    <w:rsid w:val="00505EF2"/>
    <w:rsid w:val="00510FB0"/>
    <w:rsid w:val="005115DF"/>
    <w:rsid w:val="0051245A"/>
    <w:rsid w:val="00512B52"/>
    <w:rsid w:val="00512D11"/>
    <w:rsid w:val="005167BA"/>
    <w:rsid w:val="00516AE1"/>
    <w:rsid w:val="00520B7D"/>
    <w:rsid w:val="005214B5"/>
    <w:rsid w:val="0052225E"/>
    <w:rsid w:val="0052698B"/>
    <w:rsid w:val="0052736F"/>
    <w:rsid w:val="005279EC"/>
    <w:rsid w:val="005317D9"/>
    <w:rsid w:val="0053495C"/>
    <w:rsid w:val="0053618D"/>
    <w:rsid w:val="00536238"/>
    <w:rsid w:val="005433A3"/>
    <w:rsid w:val="005436B3"/>
    <w:rsid w:val="00544489"/>
    <w:rsid w:val="0054672C"/>
    <w:rsid w:val="00547D00"/>
    <w:rsid w:val="00550AE5"/>
    <w:rsid w:val="00552C14"/>
    <w:rsid w:val="0055321B"/>
    <w:rsid w:val="005546B6"/>
    <w:rsid w:val="00555D2F"/>
    <w:rsid w:val="00556486"/>
    <w:rsid w:val="00557BB0"/>
    <w:rsid w:val="00561064"/>
    <w:rsid w:val="0056227B"/>
    <w:rsid w:val="005652D1"/>
    <w:rsid w:val="00565372"/>
    <w:rsid w:val="005676F8"/>
    <w:rsid w:val="00570637"/>
    <w:rsid w:val="005736A2"/>
    <w:rsid w:val="00573F6C"/>
    <w:rsid w:val="0057456F"/>
    <w:rsid w:val="00577A2F"/>
    <w:rsid w:val="00580787"/>
    <w:rsid w:val="005808B2"/>
    <w:rsid w:val="005834E0"/>
    <w:rsid w:val="00585E6C"/>
    <w:rsid w:val="00590CC6"/>
    <w:rsid w:val="00591988"/>
    <w:rsid w:val="00593698"/>
    <w:rsid w:val="00594003"/>
    <w:rsid w:val="00595E9E"/>
    <w:rsid w:val="005973DA"/>
    <w:rsid w:val="005A0B6D"/>
    <w:rsid w:val="005A16FB"/>
    <w:rsid w:val="005A191B"/>
    <w:rsid w:val="005A22F7"/>
    <w:rsid w:val="005A2A4F"/>
    <w:rsid w:val="005A34C7"/>
    <w:rsid w:val="005A5685"/>
    <w:rsid w:val="005A61AB"/>
    <w:rsid w:val="005A61D4"/>
    <w:rsid w:val="005A7300"/>
    <w:rsid w:val="005B2A37"/>
    <w:rsid w:val="005B32D2"/>
    <w:rsid w:val="005B3346"/>
    <w:rsid w:val="005B7939"/>
    <w:rsid w:val="005C1253"/>
    <w:rsid w:val="005C14E2"/>
    <w:rsid w:val="005C17CE"/>
    <w:rsid w:val="005C45EB"/>
    <w:rsid w:val="005C4684"/>
    <w:rsid w:val="005C4E98"/>
    <w:rsid w:val="005C5F3B"/>
    <w:rsid w:val="005C7CDA"/>
    <w:rsid w:val="005D0E40"/>
    <w:rsid w:val="005D1FC1"/>
    <w:rsid w:val="005D2A47"/>
    <w:rsid w:val="005D4472"/>
    <w:rsid w:val="005D4D55"/>
    <w:rsid w:val="005D6471"/>
    <w:rsid w:val="005D66B6"/>
    <w:rsid w:val="005D6913"/>
    <w:rsid w:val="005E3AB6"/>
    <w:rsid w:val="005E4C2C"/>
    <w:rsid w:val="005E4E78"/>
    <w:rsid w:val="005E5F98"/>
    <w:rsid w:val="005F17CE"/>
    <w:rsid w:val="005F248F"/>
    <w:rsid w:val="005F28BF"/>
    <w:rsid w:val="005F3DC7"/>
    <w:rsid w:val="005F4B4B"/>
    <w:rsid w:val="005F4E9B"/>
    <w:rsid w:val="005F5145"/>
    <w:rsid w:val="005F59CF"/>
    <w:rsid w:val="005F5D52"/>
    <w:rsid w:val="005F665B"/>
    <w:rsid w:val="005F6A83"/>
    <w:rsid w:val="005F6FEF"/>
    <w:rsid w:val="006034B1"/>
    <w:rsid w:val="00603706"/>
    <w:rsid w:val="006041E3"/>
    <w:rsid w:val="00604B99"/>
    <w:rsid w:val="00605B63"/>
    <w:rsid w:val="00606B48"/>
    <w:rsid w:val="006113AA"/>
    <w:rsid w:val="00611B4B"/>
    <w:rsid w:val="00612993"/>
    <w:rsid w:val="00614520"/>
    <w:rsid w:val="00617062"/>
    <w:rsid w:val="0062166C"/>
    <w:rsid w:val="006237C3"/>
    <w:rsid w:val="006243BA"/>
    <w:rsid w:val="00626171"/>
    <w:rsid w:val="0062661E"/>
    <w:rsid w:val="00626898"/>
    <w:rsid w:val="00626D11"/>
    <w:rsid w:val="00627759"/>
    <w:rsid w:val="00634C8D"/>
    <w:rsid w:val="00635520"/>
    <w:rsid w:val="00636EF3"/>
    <w:rsid w:val="00636F59"/>
    <w:rsid w:val="00644901"/>
    <w:rsid w:val="00644B68"/>
    <w:rsid w:val="00644FD0"/>
    <w:rsid w:val="00646DC3"/>
    <w:rsid w:val="00646E90"/>
    <w:rsid w:val="00647AB9"/>
    <w:rsid w:val="00650553"/>
    <w:rsid w:val="00654A7F"/>
    <w:rsid w:val="00655CCF"/>
    <w:rsid w:val="00656162"/>
    <w:rsid w:val="00656CA7"/>
    <w:rsid w:val="0065769C"/>
    <w:rsid w:val="006618A7"/>
    <w:rsid w:val="00662CAD"/>
    <w:rsid w:val="00662DED"/>
    <w:rsid w:val="00664201"/>
    <w:rsid w:val="00664A66"/>
    <w:rsid w:val="00664D68"/>
    <w:rsid w:val="006650E1"/>
    <w:rsid w:val="00665175"/>
    <w:rsid w:val="006657A9"/>
    <w:rsid w:val="00665985"/>
    <w:rsid w:val="00665CFE"/>
    <w:rsid w:val="00667EFE"/>
    <w:rsid w:val="00670536"/>
    <w:rsid w:val="00670E4D"/>
    <w:rsid w:val="00677BF5"/>
    <w:rsid w:val="00677C3F"/>
    <w:rsid w:val="00684425"/>
    <w:rsid w:val="00685D2D"/>
    <w:rsid w:val="00686401"/>
    <w:rsid w:val="006867DD"/>
    <w:rsid w:val="00694DE5"/>
    <w:rsid w:val="00695E38"/>
    <w:rsid w:val="00695F2A"/>
    <w:rsid w:val="00696B66"/>
    <w:rsid w:val="00696B88"/>
    <w:rsid w:val="00696DAA"/>
    <w:rsid w:val="00697142"/>
    <w:rsid w:val="00697DCA"/>
    <w:rsid w:val="006A0C7B"/>
    <w:rsid w:val="006A15A9"/>
    <w:rsid w:val="006A2613"/>
    <w:rsid w:val="006A2E4B"/>
    <w:rsid w:val="006A3A55"/>
    <w:rsid w:val="006A3A6E"/>
    <w:rsid w:val="006A5A55"/>
    <w:rsid w:val="006A752F"/>
    <w:rsid w:val="006A776B"/>
    <w:rsid w:val="006A7C01"/>
    <w:rsid w:val="006A7D93"/>
    <w:rsid w:val="006B092C"/>
    <w:rsid w:val="006B2C33"/>
    <w:rsid w:val="006B4468"/>
    <w:rsid w:val="006B4A64"/>
    <w:rsid w:val="006B59F0"/>
    <w:rsid w:val="006B6A78"/>
    <w:rsid w:val="006B7439"/>
    <w:rsid w:val="006C2448"/>
    <w:rsid w:val="006C44ED"/>
    <w:rsid w:val="006C5881"/>
    <w:rsid w:val="006C62A7"/>
    <w:rsid w:val="006C6954"/>
    <w:rsid w:val="006C759D"/>
    <w:rsid w:val="006D371A"/>
    <w:rsid w:val="006D3AD5"/>
    <w:rsid w:val="006D77CF"/>
    <w:rsid w:val="006E0EB5"/>
    <w:rsid w:val="006E1B13"/>
    <w:rsid w:val="006E3028"/>
    <w:rsid w:val="006E31A7"/>
    <w:rsid w:val="006E3E6F"/>
    <w:rsid w:val="006E6628"/>
    <w:rsid w:val="006F04DF"/>
    <w:rsid w:val="006F0EEF"/>
    <w:rsid w:val="006F4054"/>
    <w:rsid w:val="006F4646"/>
    <w:rsid w:val="006F6023"/>
    <w:rsid w:val="006F766F"/>
    <w:rsid w:val="00700855"/>
    <w:rsid w:val="00700CC1"/>
    <w:rsid w:val="0070253E"/>
    <w:rsid w:val="00704B80"/>
    <w:rsid w:val="00704DBA"/>
    <w:rsid w:val="00705EA0"/>
    <w:rsid w:val="007075EB"/>
    <w:rsid w:val="0071142C"/>
    <w:rsid w:val="00711D01"/>
    <w:rsid w:val="00712611"/>
    <w:rsid w:val="007129D0"/>
    <w:rsid w:val="00712AC9"/>
    <w:rsid w:val="00712B25"/>
    <w:rsid w:val="00712B64"/>
    <w:rsid w:val="007140B3"/>
    <w:rsid w:val="00721ADB"/>
    <w:rsid w:val="007237A1"/>
    <w:rsid w:val="00723F08"/>
    <w:rsid w:val="00724BCB"/>
    <w:rsid w:val="00725F9B"/>
    <w:rsid w:val="00726535"/>
    <w:rsid w:val="00726CB3"/>
    <w:rsid w:val="007306C1"/>
    <w:rsid w:val="00731041"/>
    <w:rsid w:val="0073104B"/>
    <w:rsid w:val="00731A5F"/>
    <w:rsid w:val="007333D9"/>
    <w:rsid w:val="00735A82"/>
    <w:rsid w:val="0073609E"/>
    <w:rsid w:val="0073668D"/>
    <w:rsid w:val="00736AC3"/>
    <w:rsid w:val="00740626"/>
    <w:rsid w:val="00741062"/>
    <w:rsid w:val="00741216"/>
    <w:rsid w:val="00741582"/>
    <w:rsid w:val="00743265"/>
    <w:rsid w:val="00746FE4"/>
    <w:rsid w:val="00751C57"/>
    <w:rsid w:val="00752330"/>
    <w:rsid w:val="007562C5"/>
    <w:rsid w:val="00757BB6"/>
    <w:rsid w:val="007603F3"/>
    <w:rsid w:val="00761488"/>
    <w:rsid w:val="00761D7E"/>
    <w:rsid w:val="00761F26"/>
    <w:rsid w:val="00763B96"/>
    <w:rsid w:val="00764A12"/>
    <w:rsid w:val="00767DFA"/>
    <w:rsid w:val="00770868"/>
    <w:rsid w:val="0077133C"/>
    <w:rsid w:val="007719C1"/>
    <w:rsid w:val="00774D76"/>
    <w:rsid w:val="00775B3C"/>
    <w:rsid w:val="00775D7D"/>
    <w:rsid w:val="00775E0D"/>
    <w:rsid w:val="00776A04"/>
    <w:rsid w:val="00780075"/>
    <w:rsid w:val="0078009D"/>
    <w:rsid w:val="00781491"/>
    <w:rsid w:val="00784215"/>
    <w:rsid w:val="00785D4A"/>
    <w:rsid w:val="007873C5"/>
    <w:rsid w:val="007918F6"/>
    <w:rsid w:val="007927AF"/>
    <w:rsid w:val="007937F2"/>
    <w:rsid w:val="00794378"/>
    <w:rsid w:val="0079545E"/>
    <w:rsid w:val="007A172E"/>
    <w:rsid w:val="007A23EC"/>
    <w:rsid w:val="007A2A75"/>
    <w:rsid w:val="007A6987"/>
    <w:rsid w:val="007A6CAC"/>
    <w:rsid w:val="007B0626"/>
    <w:rsid w:val="007B101E"/>
    <w:rsid w:val="007B4582"/>
    <w:rsid w:val="007B6715"/>
    <w:rsid w:val="007B6C53"/>
    <w:rsid w:val="007C0375"/>
    <w:rsid w:val="007C21C7"/>
    <w:rsid w:val="007C35CB"/>
    <w:rsid w:val="007C4A47"/>
    <w:rsid w:val="007C76CD"/>
    <w:rsid w:val="007D14A7"/>
    <w:rsid w:val="007D2907"/>
    <w:rsid w:val="007D32A9"/>
    <w:rsid w:val="007D4EAD"/>
    <w:rsid w:val="007E0DC2"/>
    <w:rsid w:val="007E32D7"/>
    <w:rsid w:val="007E4760"/>
    <w:rsid w:val="007E478F"/>
    <w:rsid w:val="007E500B"/>
    <w:rsid w:val="007E5DEC"/>
    <w:rsid w:val="007F38D2"/>
    <w:rsid w:val="007F3C0E"/>
    <w:rsid w:val="007F4763"/>
    <w:rsid w:val="007F514C"/>
    <w:rsid w:val="007F5497"/>
    <w:rsid w:val="007F7BE1"/>
    <w:rsid w:val="00804F1B"/>
    <w:rsid w:val="00807FB8"/>
    <w:rsid w:val="00810404"/>
    <w:rsid w:val="00813052"/>
    <w:rsid w:val="00815B2B"/>
    <w:rsid w:val="008167A5"/>
    <w:rsid w:val="00816E4B"/>
    <w:rsid w:val="0082121C"/>
    <w:rsid w:val="0082216D"/>
    <w:rsid w:val="00822E3B"/>
    <w:rsid w:val="00823502"/>
    <w:rsid w:val="008256EA"/>
    <w:rsid w:val="00827CFC"/>
    <w:rsid w:val="00830D8A"/>
    <w:rsid w:val="008317B0"/>
    <w:rsid w:val="008317C1"/>
    <w:rsid w:val="00833640"/>
    <w:rsid w:val="00833D46"/>
    <w:rsid w:val="00840497"/>
    <w:rsid w:val="00841F66"/>
    <w:rsid w:val="008435D3"/>
    <w:rsid w:val="008476F3"/>
    <w:rsid w:val="00854518"/>
    <w:rsid w:val="00855BA5"/>
    <w:rsid w:val="008563E2"/>
    <w:rsid w:val="00856A65"/>
    <w:rsid w:val="00856F2F"/>
    <w:rsid w:val="0086240D"/>
    <w:rsid w:val="00864A89"/>
    <w:rsid w:val="00865178"/>
    <w:rsid w:val="008663C0"/>
    <w:rsid w:val="00866D2D"/>
    <w:rsid w:val="008672FE"/>
    <w:rsid w:val="00867A4F"/>
    <w:rsid w:val="0087514A"/>
    <w:rsid w:val="00876BAD"/>
    <w:rsid w:val="00876DBD"/>
    <w:rsid w:val="00877380"/>
    <w:rsid w:val="00877E82"/>
    <w:rsid w:val="008807C4"/>
    <w:rsid w:val="00884B7B"/>
    <w:rsid w:val="008850D9"/>
    <w:rsid w:val="00886AA1"/>
    <w:rsid w:val="00887A95"/>
    <w:rsid w:val="0089347A"/>
    <w:rsid w:val="00895633"/>
    <w:rsid w:val="00895E6C"/>
    <w:rsid w:val="008A0609"/>
    <w:rsid w:val="008A14C5"/>
    <w:rsid w:val="008A1AA5"/>
    <w:rsid w:val="008A4B3C"/>
    <w:rsid w:val="008A6A13"/>
    <w:rsid w:val="008B0623"/>
    <w:rsid w:val="008B2518"/>
    <w:rsid w:val="008B2620"/>
    <w:rsid w:val="008B3B8B"/>
    <w:rsid w:val="008B4319"/>
    <w:rsid w:val="008B487B"/>
    <w:rsid w:val="008B4B90"/>
    <w:rsid w:val="008B77A9"/>
    <w:rsid w:val="008C073A"/>
    <w:rsid w:val="008C0E15"/>
    <w:rsid w:val="008C1984"/>
    <w:rsid w:val="008C1BF8"/>
    <w:rsid w:val="008C2108"/>
    <w:rsid w:val="008C2AE7"/>
    <w:rsid w:val="008C2EC3"/>
    <w:rsid w:val="008C2FB7"/>
    <w:rsid w:val="008C6284"/>
    <w:rsid w:val="008D077F"/>
    <w:rsid w:val="008D0BB9"/>
    <w:rsid w:val="008D498B"/>
    <w:rsid w:val="008D53CE"/>
    <w:rsid w:val="008D6B3D"/>
    <w:rsid w:val="008D6F08"/>
    <w:rsid w:val="008E07FE"/>
    <w:rsid w:val="008E0E4E"/>
    <w:rsid w:val="008E38C0"/>
    <w:rsid w:val="008E413F"/>
    <w:rsid w:val="008E5B0D"/>
    <w:rsid w:val="008E5F37"/>
    <w:rsid w:val="008E6C59"/>
    <w:rsid w:val="008E7C4E"/>
    <w:rsid w:val="008F1334"/>
    <w:rsid w:val="008F1EE5"/>
    <w:rsid w:val="008F1F45"/>
    <w:rsid w:val="008F24C0"/>
    <w:rsid w:val="008F7848"/>
    <w:rsid w:val="009034AA"/>
    <w:rsid w:val="009047AB"/>
    <w:rsid w:val="00906C32"/>
    <w:rsid w:val="00906DE4"/>
    <w:rsid w:val="00907C6F"/>
    <w:rsid w:val="0091314D"/>
    <w:rsid w:val="009140D4"/>
    <w:rsid w:val="0091416A"/>
    <w:rsid w:val="00914F9F"/>
    <w:rsid w:val="0091672D"/>
    <w:rsid w:val="00916828"/>
    <w:rsid w:val="00916B3E"/>
    <w:rsid w:val="009210D8"/>
    <w:rsid w:val="0092122B"/>
    <w:rsid w:val="00923414"/>
    <w:rsid w:val="00923848"/>
    <w:rsid w:val="009247CB"/>
    <w:rsid w:val="00924EE4"/>
    <w:rsid w:val="00925902"/>
    <w:rsid w:val="0092605B"/>
    <w:rsid w:val="00932C38"/>
    <w:rsid w:val="009355B2"/>
    <w:rsid w:val="009371D4"/>
    <w:rsid w:val="00937259"/>
    <w:rsid w:val="00942E45"/>
    <w:rsid w:val="00944088"/>
    <w:rsid w:val="00946AB6"/>
    <w:rsid w:val="00946E21"/>
    <w:rsid w:val="00952C92"/>
    <w:rsid w:val="0095447D"/>
    <w:rsid w:val="00954947"/>
    <w:rsid w:val="00954A01"/>
    <w:rsid w:val="00954BC5"/>
    <w:rsid w:val="00955BAC"/>
    <w:rsid w:val="009560AE"/>
    <w:rsid w:val="009563E6"/>
    <w:rsid w:val="009619C5"/>
    <w:rsid w:val="009626C6"/>
    <w:rsid w:val="00963901"/>
    <w:rsid w:val="009672B0"/>
    <w:rsid w:val="00970813"/>
    <w:rsid w:val="00970E15"/>
    <w:rsid w:val="00971EC9"/>
    <w:rsid w:val="009725F6"/>
    <w:rsid w:val="00972660"/>
    <w:rsid w:val="0098035E"/>
    <w:rsid w:val="00982A99"/>
    <w:rsid w:val="009841B6"/>
    <w:rsid w:val="00986FAF"/>
    <w:rsid w:val="00991C19"/>
    <w:rsid w:val="009926EC"/>
    <w:rsid w:val="0099431B"/>
    <w:rsid w:val="00994A22"/>
    <w:rsid w:val="0099698C"/>
    <w:rsid w:val="00996BD8"/>
    <w:rsid w:val="009A1355"/>
    <w:rsid w:val="009A1570"/>
    <w:rsid w:val="009A1818"/>
    <w:rsid w:val="009A2B68"/>
    <w:rsid w:val="009A35A0"/>
    <w:rsid w:val="009A38DF"/>
    <w:rsid w:val="009B2411"/>
    <w:rsid w:val="009B2614"/>
    <w:rsid w:val="009B3A4D"/>
    <w:rsid w:val="009B6640"/>
    <w:rsid w:val="009B6CDB"/>
    <w:rsid w:val="009C0566"/>
    <w:rsid w:val="009C28FE"/>
    <w:rsid w:val="009C2D04"/>
    <w:rsid w:val="009C3488"/>
    <w:rsid w:val="009C3998"/>
    <w:rsid w:val="009C5A93"/>
    <w:rsid w:val="009D47D4"/>
    <w:rsid w:val="009D4E65"/>
    <w:rsid w:val="009D5E00"/>
    <w:rsid w:val="009D68C2"/>
    <w:rsid w:val="009D6E73"/>
    <w:rsid w:val="009E01D0"/>
    <w:rsid w:val="009E06BF"/>
    <w:rsid w:val="009E0A5B"/>
    <w:rsid w:val="009E152A"/>
    <w:rsid w:val="009E352C"/>
    <w:rsid w:val="009E48CA"/>
    <w:rsid w:val="009E50A0"/>
    <w:rsid w:val="009E5A63"/>
    <w:rsid w:val="009E6D78"/>
    <w:rsid w:val="009E7BFE"/>
    <w:rsid w:val="009F2A5A"/>
    <w:rsid w:val="009F4623"/>
    <w:rsid w:val="009F6848"/>
    <w:rsid w:val="00A017EA"/>
    <w:rsid w:val="00A02F73"/>
    <w:rsid w:val="00A04CE4"/>
    <w:rsid w:val="00A0630A"/>
    <w:rsid w:val="00A0707A"/>
    <w:rsid w:val="00A07E10"/>
    <w:rsid w:val="00A11D55"/>
    <w:rsid w:val="00A1344D"/>
    <w:rsid w:val="00A14E6F"/>
    <w:rsid w:val="00A15BD6"/>
    <w:rsid w:val="00A26C51"/>
    <w:rsid w:val="00A26F20"/>
    <w:rsid w:val="00A27C81"/>
    <w:rsid w:val="00A27FDF"/>
    <w:rsid w:val="00A310D8"/>
    <w:rsid w:val="00A34441"/>
    <w:rsid w:val="00A40784"/>
    <w:rsid w:val="00A40AA4"/>
    <w:rsid w:val="00A4246B"/>
    <w:rsid w:val="00A42E77"/>
    <w:rsid w:val="00A448BF"/>
    <w:rsid w:val="00A50787"/>
    <w:rsid w:val="00A51410"/>
    <w:rsid w:val="00A5678C"/>
    <w:rsid w:val="00A57498"/>
    <w:rsid w:val="00A57791"/>
    <w:rsid w:val="00A605DD"/>
    <w:rsid w:val="00A616B9"/>
    <w:rsid w:val="00A617E1"/>
    <w:rsid w:val="00A62D34"/>
    <w:rsid w:val="00A67A72"/>
    <w:rsid w:val="00A716EF"/>
    <w:rsid w:val="00A717E0"/>
    <w:rsid w:val="00A7218D"/>
    <w:rsid w:val="00A72E4E"/>
    <w:rsid w:val="00A74186"/>
    <w:rsid w:val="00A743F5"/>
    <w:rsid w:val="00A7567C"/>
    <w:rsid w:val="00A76096"/>
    <w:rsid w:val="00A7736B"/>
    <w:rsid w:val="00A8026F"/>
    <w:rsid w:val="00A833A9"/>
    <w:rsid w:val="00A840A9"/>
    <w:rsid w:val="00A90FED"/>
    <w:rsid w:val="00A917BA"/>
    <w:rsid w:val="00A92CF7"/>
    <w:rsid w:val="00A946ED"/>
    <w:rsid w:val="00A948DF"/>
    <w:rsid w:val="00A96504"/>
    <w:rsid w:val="00A96C78"/>
    <w:rsid w:val="00AA0883"/>
    <w:rsid w:val="00AA170B"/>
    <w:rsid w:val="00AA1939"/>
    <w:rsid w:val="00AA1A22"/>
    <w:rsid w:val="00AA2FD9"/>
    <w:rsid w:val="00AA3046"/>
    <w:rsid w:val="00AA41A9"/>
    <w:rsid w:val="00AA558A"/>
    <w:rsid w:val="00AA5A34"/>
    <w:rsid w:val="00AA7512"/>
    <w:rsid w:val="00AA7E39"/>
    <w:rsid w:val="00AB0043"/>
    <w:rsid w:val="00AB00A1"/>
    <w:rsid w:val="00AB1244"/>
    <w:rsid w:val="00AB1275"/>
    <w:rsid w:val="00AB22E0"/>
    <w:rsid w:val="00AB36CE"/>
    <w:rsid w:val="00AB5CC2"/>
    <w:rsid w:val="00AB5FB5"/>
    <w:rsid w:val="00AC05E7"/>
    <w:rsid w:val="00AC1595"/>
    <w:rsid w:val="00AC1A6B"/>
    <w:rsid w:val="00AC2103"/>
    <w:rsid w:val="00AC289D"/>
    <w:rsid w:val="00AC585B"/>
    <w:rsid w:val="00AC630B"/>
    <w:rsid w:val="00AC6D3C"/>
    <w:rsid w:val="00AC722B"/>
    <w:rsid w:val="00AD063B"/>
    <w:rsid w:val="00AD2030"/>
    <w:rsid w:val="00AD3346"/>
    <w:rsid w:val="00AD4C6D"/>
    <w:rsid w:val="00AD61BE"/>
    <w:rsid w:val="00AD6C65"/>
    <w:rsid w:val="00AD6EBD"/>
    <w:rsid w:val="00AE08FB"/>
    <w:rsid w:val="00AE18EA"/>
    <w:rsid w:val="00AE26DB"/>
    <w:rsid w:val="00AE3AAD"/>
    <w:rsid w:val="00AE73CA"/>
    <w:rsid w:val="00AE73F4"/>
    <w:rsid w:val="00AE7AAD"/>
    <w:rsid w:val="00AF04E3"/>
    <w:rsid w:val="00AF069B"/>
    <w:rsid w:val="00AF0B0E"/>
    <w:rsid w:val="00AF748B"/>
    <w:rsid w:val="00B01033"/>
    <w:rsid w:val="00B01474"/>
    <w:rsid w:val="00B01D15"/>
    <w:rsid w:val="00B028C1"/>
    <w:rsid w:val="00B041E8"/>
    <w:rsid w:val="00B04276"/>
    <w:rsid w:val="00B07582"/>
    <w:rsid w:val="00B13869"/>
    <w:rsid w:val="00B1388A"/>
    <w:rsid w:val="00B14B31"/>
    <w:rsid w:val="00B16395"/>
    <w:rsid w:val="00B16446"/>
    <w:rsid w:val="00B17CE7"/>
    <w:rsid w:val="00B17E8F"/>
    <w:rsid w:val="00B20A49"/>
    <w:rsid w:val="00B223C7"/>
    <w:rsid w:val="00B244BA"/>
    <w:rsid w:val="00B2559E"/>
    <w:rsid w:val="00B27DC7"/>
    <w:rsid w:val="00B30C54"/>
    <w:rsid w:val="00B41FC5"/>
    <w:rsid w:val="00B4252B"/>
    <w:rsid w:val="00B444DA"/>
    <w:rsid w:val="00B448BC"/>
    <w:rsid w:val="00B45DF5"/>
    <w:rsid w:val="00B46690"/>
    <w:rsid w:val="00B47CD5"/>
    <w:rsid w:val="00B5523B"/>
    <w:rsid w:val="00B555FE"/>
    <w:rsid w:val="00B556FD"/>
    <w:rsid w:val="00B56D98"/>
    <w:rsid w:val="00B56E1E"/>
    <w:rsid w:val="00B6024E"/>
    <w:rsid w:val="00B61BAC"/>
    <w:rsid w:val="00B62C2D"/>
    <w:rsid w:val="00B63E89"/>
    <w:rsid w:val="00B7067E"/>
    <w:rsid w:val="00B712BE"/>
    <w:rsid w:val="00B71337"/>
    <w:rsid w:val="00B74A65"/>
    <w:rsid w:val="00B7539B"/>
    <w:rsid w:val="00B76BA4"/>
    <w:rsid w:val="00B77513"/>
    <w:rsid w:val="00B84602"/>
    <w:rsid w:val="00B853FF"/>
    <w:rsid w:val="00B855BD"/>
    <w:rsid w:val="00B86A07"/>
    <w:rsid w:val="00B87934"/>
    <w:rsid w:val="00B87A25"/>
    <w:rsid w:val="00B90372"/>
    <w:rsid w:val="00B9086C"/>
    <w:rsid w:val="00B90871"/>
    <w:rsid w:val="00B910A3"/>
    <w:rsid w:val="00B92386"/>
    <w:rsid w:val="00B947E9"/>
    <w:rsid w:val="00B94CFD"/>
    <w:rsid w:val="00B968AD"/>
    <w:rsid w:val="00BA1388"/>
    <w:rsid w:val="00BA411C"/>
    <w:rsid w:val="00BA5982"/>
    <w:rsid w:val="00BA642E"/>
    <w:rsid w:val="00BA7376"/>
    <w:rsid w:val="00BB0A25"/>
    <w:rsid w:val="00BB0D96"/>
    <w:rsid w:val="00BB1B46"/>
    <w:rsid w:val="00BB1DB1"/>
    <w:rsid w:val="00BB5688"/>
    <w:rsid w:val="00BB659E"/>
    <w:rsid w:val="00BC12ED"/>
    <w:rsid w:val="00BC1759"/>
    <w:rsid w:val="00BC18A9"/>
    <w:rsid w:val="00BC50F7"/>
    <w:rsid w:val="00BD0751"/>
    <w:rsid w:val="00BD16FB"/>
    <w:rsid w:val="00BD2FB6"/>
    <w:rsid w:val="00BD4648"/>
    <w:rsid w:val="00BD54A1"/>
    <w:rsid w:val="00BD673D"/>
    <w:rsid w:val="00BE17E8"/>
    <w:rsid w:val="00BE1AA4"/>
    <w:rsid w:val="00BE2CBD"/>
    <w:rsid w:val="00BE41BD"/>
    <w:rsid w:val="00BE490C"/>
    <w:rsid w:val="00BE5712"/>
    <w:rsid w:val="00BF135C"/>
    <w:rsid w:val="00BF29DD"/>
    <w:rsid w:val="00BF30B1"/>
    <w:rsid w:val="00BF319A"/>
    <w:rsid w:val="00BF6496"/>
    <w:rsid w:val="00C01002"/>
    <w:rsid w:val="00C0303A"/>
    <w:rsid w:val="00C0403D"/>
    <w:rsid w:val="00C04F02"/>
    <w:rsid w:val="00C0549D"/>
    <w:rsid w:val="00C07C77"/>
    <w:rsid w:val="00C07F4E"/>
    <w:rsid w:val="00C101C2"/>
    <w:rsid w:val="00C11CC6"/>
    <w:rsid w:val="00C13761"/>
    <w:rsid w:val="00C139A5"/>
    <w:rsid w:val="00C146F9"/>
    <w:rsid w:val="00C16417"/>
    <w:rsid w:val="00C2041B"/>
    <w:rsid w:val="00C20F31"/>
    <w:rsid w:val="00C2160B"/>
    <w:rsid w:val="00C21969"/>
    <w:rsid w:val="00C21988"/>
    <w:rsid w:val="00C222E2"/>
    <w:rsid w:val="00C225AF"/>
    <w:rsid w:val="00C2262C"/>
    <w:rsid w:val="00C227F0"/>
    <w:rsid w:val="00C23DB9"/>
    <w:rsid w:val="00C244A9"/>
    <w:rsid w:val="00C244DE"/>
    <w:rsid w:val="00C2488B"/>
    <w:rsid w:val="00C24BCA"/>
    <w:rsid w:val="00C2558F"/>
    <w:rsid w:val="00C3424B"/>
    <w:rsid w:val="00C3432E"/>
    <w:rsid w:val="00C3457C"/>
    <w:rsid w:val="00C3465A"/>
    <w:rsid w:val="00C34879"/>
    <w:rsid w:val="00C35705"/>
    <w:rsid w:val="00C35C8C"/>
    <w:rsid w:val="00C437B0"/>
    <w:rsid w:val="00C46AAD"/>
    <w:rsid w:val="00C479EC"/>
    <w:rsid w:val="00C545D8"/>
    <w:rsid w:val="00C5712B"/>
    <w:rsid w:val="00C57283"/>
    <w:rsid w:val="00C61080"/>
    <w:rsid w:val="00C6255C"/>
    <w:rsid w:val="00C62937"/>
    <w:rsid w:val="00C63897"/>
    <w:rsid w:val="00C648C7"/>
    <w:rsid w:val="00C64A4C"/>
    <w:rsid w:val="00C65CF2"/>
    <w:rsid w:val="00C67E1F"/>
    <w:rsid w:val="00C67F80"/>
    <w:rsid w:val="00C7404E"/>
    <w:rsid w:val="00C84624"/>
    <w:rsid w:val="00C869A2"/>
    <w:rsid w:val="00C875F1"/>
    <w:rsid w:val="00C901A8"/>
    <w:rsid w:val="00C9531F"/>
    <w:rsid w:val="00C976ED"/>
    <w:rsid w:val="00CA12C9"/>
    <w:rsid w:val="00CA274F"/>
    <w:rsid w:val="00CA3394"/>
    <w:rsid w:val="00CA422D"/>
    <w:rsid w:val="00CA4BFF"/>
    <w:rsid w:val="00CA4C1F"/>
    <w:rsid w:val="00CA637D"/>
    <w:rsid w:val="00CA6B6C"/>
    <w:rsid w:val="00CA6DB4"/>
    <w:rsid w:val="00CA711C"/>
    <w:rsid w:val="00CB1593"/>
    <w:rsid w:val="00CB2AA5"/>
    <w:rsid w:val="00CB2ACC"/>
    <w:rsid w:val="00CB573D"/>
    <w:rsid w:val="00CB7785"/>
    <w:rsid w:val="00CC0442"/>
    <w:rsid w:val="00CC0E08"/>
    <w:rsid w:val="00CC645F"/>
    <w:rsid w:val="00CD1608"/>
    <w:rsid w:val="00CD2F96"/>
    <w:rsid w:val="00CD3687"/>
    <w:rsid w:val="00CD43A6"/>
    <w:rsid w:val="00CD54FB"/>
    <w:rsid w:val="00CD6C5C"/>
    <w:rsid w:val="00CD7077"/>
    <w:rsid w:val="00CE1334"/>
    <w:rsid w:val="00CE2D87"/>
    <w:rsid w:val="00CE2E9F"/>
    <w:rsid w:val="00CE46C7"/>
    <w:rsid w:val="00CE48C9"/>
    <w:rsid w:val="00CF0364"/>
    <w:rsid w:val="00CF0980"/>
    <w:rsid w:val="00CF09B5"/>
    <w:rsid w:val="00CF27B9"/>
    <w:rsid w:val="00CF2937"/>
    <w:rsid w:val="00CF5D70"/>
    <w:rsid w:val="00CF6095"/>
    <w:rsid w:val="00CF6145"/>
    <w:rsid w:val="00D02264"/>
    <w:rsid w:val="00D02E82"/>
    <w:rsid w:val="00D03240"/>
    <w:rsid w:val="00D03D43"/>
    <w:rsid w:val="00D04C82"/>
    <w:rsid w:val="00D10510"/>
    <w:rsid w:val="00D11686"/>
    <w:rsid w:val="00D11D09"/>
    <w:rsid w:val="00D1225A"/>
    <w:rsid w:val="00D14D14"/>
    <w:rsid w:val="00D15704"/>
    <w:rsid w:val="00D16C4E"/>
    <w:rsid w:val="00D17106"/>
    <w:rsid w:val="00D175E1"/>
    <w:rsid w:val="00D2001F"/>
    <w:rsid w:val="00D21307"/>
    <w:rsid w:val="00D22348"/>
    <w:rsid w:val="00D239C0"/>
    <w:rsid w:val="00D244D6"/>
    <w:rsid w:val="00D25F44"/>
    <w:rsid w:val="00D26EB9"/>
    <w:rsid w:val="00D27006"/>
    <w:rsid w:val="00D27F7C"/>
    <w:rsid w:val="00D321F2"/>
    <w:rsid w:val="00D323FC"/>
    <w:rsid w:val="00D33322"/>
    <w:rsid w:val="00D33CF2"/>
    <w:rsid w:val="00D35393"/>
    <w:rsid w:val="00D35C60"/>
    <w:rsid w:val="00D35CEE"/>
    <w:rsid w:val="00D37B9A"/>
    <w:rsid w:val="00D40D10"/>
    <w:rsid w:val="00D4282D"/>
    <w:rsid w:val="00D43092"/>
    <w:rsid w:val="00D44618"/>
    <w:rsid w:val="00D45400"/>
    <w:rsid w:val="00D46377"/>
    <w:rsid w:val="00D465DF"/>
    <w:rsid w:val="00D47062"/>
    <w:rsid w:val="00D471F6"/>
    <w:rsid w:val="00D508E7"/>
    <w:rsid w:val="00D51864"/>
    <w:rsid w:val="00D52C62"/>
    <w:rsid w:val="00D52DDB"/>
    <w:rsid w:val="00D52FFD"/>
    <w:rsid w:val="00D54658"/>
    <w:rsid w:val="00D56B37"/>
    <w:rsid w:val="00D56D42"/>
    <w:rsid w:val="00D570D5"/>
    <w:rsid w:val="00D60964"/>
    <w:rsid w:val="00D60A16"/>
    <w:rsid w:val="00D6258A"/>
    <w:rsid w:val="00D62AE0"/>
    <w:rsid w:val="00D6302E"/>
    <w:rsid w:val="00D640F2"/>
    <w:rsid w:val="00D64594"/>
    <w:rsid w:val="00D65FD8"/>
    <w:rsid w:val="00D66BB1"/>
    <w:rsid w:val="00D728D0"/>
    <w:rsid w:val="00D755B6"/>
    <w:rsid w:val="00D766D2"/>
    <w:rsid w:val="00D835ED"/>
    <w:rsid w:val="00D83A11"/>
    <w:rsid w:val="00D84450"/>
    <w:rsid w:val="00D87365"/>
    <w:rsid w:val="00D87F98"/>
    <w:rsid w:val="00D90039"/>
    <w:rsid w:val="00D90E0B"/>
    <w:rsid w:val="00D91865"/>
    <w:rsid w:val="00D924F7"/>
    <w:rsid w:val="00D9471E"/>
    <w:rsid w:val="00D94FFF"/>
    <w:rsid w:val="00D9560A"/>
    <w:rsid w:val="00DA2E35"/>
    <w:rsid w:val="00DA3998"/>
    <w:rsid w:val="00DA3D29"/>
    <w:rsid w:val="00DB047E"/>
    <w:rsid w:val="00DB2791"/>
    <w:rsid w:val="00DB2867"/>
    <w:rsid w:val="00DB2BE4"/>
    <w:rsid w:val="00DB4B9D"/>
    <w:rsid w:val="00DC0360"/>
    <w:rsid w:val="00DC1279"/>
    <w:rsid w:val="00DC173D"/>
    <w:rsid w:val="00DC17F6"/>
    <w:rsid w:val="00DC217F"/>
    <w:rsid w:val="00DC3115"/>
    <w:rsid w:val="00DC4C69"/>
    <w:rsid w:val="00DC54E5"/>
    <w:rsid w:val="00DC55ED"/>
    <w:rsid w:val="00DC6EFF"/>
    <w:rsid w:val="00DD4AFB"/>
    <w:rsid w:val="00DD56DB"/>
    <w:rsid w:val="00DD5B0E"/>
    <w:rsid w:val="00DD5EB1"/>
    <w:rsid w:val="00DD65C3"/>
    <w:rsid w:val="00DD6FFC"/>
    <w:rsid w:val="00DD7B61"/>
    <w:rsid w:val="00DD7F6B"/>
    <w:rsid w:val="00DE0453"/>
    <w:rsid w:val="00DE18E3"/>
    <w:rsid w:val="00DE457E"/>
    <w:rsid w:val="00DE5213"/>
    <w:rsid w:val="00DE693D"/>
    <w:rsid w:val="00DE7FE2"/>
    <w:rsid w:val="00DF047F"/>
    <w:rsid w:val="00DF1EFB"/>
    <w:rsid w:val="00DF2C0F"/>
    <w:rsid w:val="00DF447C"/>
    <w:rsid w:val="00DF58B3"/>
    <w:rsid w:val="00DF5C54"/>
    <w:rsid w:val="00DF6664"/>
    <w:rsid w:val="00DF6D69"/>
    <w:rsid w:val="00E014A8"/>
    <w:rsid w:val="00E03427"/>
    <w:rsid w:val="00E046EC"/>
    <w:rsid w:val="00E05313"/>
    <w:rsid w:val="00E05441"/>
    <w:rsid w:val="00E05C17"/>
    <w:rsid w:val="00E05FCC"/>
    <w:rsid w:val="00E07357"/>
    <w:rsid w:val="00E07358"/>
    <w:rsid w:val="00E16508"/>
    <w:rsid w:val="00E178D4"/>
    <w:rsid w:val="00E23407"/>
    <w:rsid w:val="00E2561C"/>
    <w:rsid w:val="00E25997"/>
    <w:rsid w:val="00E26365"/>
    <w:rsid w:val="00E30D56"/>
    <w:rsid w:val="00E32265"/>
    <w:rsid w:val="00E326C7"/>
    <w:rsid w:val="00E36171"/>
    <w:rsid w:val="00E37311"/>
    <w:rsid w:val="00E3764C"/>
    <w:rsid w:val="00E37C3C"/>
    <w:rsid w:val="00E37F7E"/>
    <w:rsid w:val="00E401DE"/>
    <w:rsid w:val="00E40A85"/>
    <w:rsid w:val="00E41EE4"/>
    <w:rsid w:val="00E41F71"/>
    <w:rsid w:val="00E42D0A"/>
    <w:rsid w:val="00E44133"/>
    <w:rsid w:val="00E45C98"/>
    <w:rsid w:val="00E46930"/>
    <w:rsid w:val="00E46E47"/>
    <w:rsid w:val="00E5278D"/>
    <w:rsid w:val="00E5298F"/>
    <w:rsid w:val="00E52EE2"/>
    <w:rsid w:val="00E53BEC"/>
    <w:rsid w:val="00E55442"/>
    <w:rsid w:val="00E565BF"/>
    <w:rsid w:val="00E60C60"/>
    <w:rsid w:val="00E612D4"/>
    <w:rsid w:val="00E62115"/>
    <w:rsid w:val="00E653B8"/>
    <w:rsid w:val="00E661B1"/>
    <w:rsid w:val="00E665C3"/>
    <w:rsid w:val="00E67F59"/>
    <w:rsid w:val="00E703E7"/>
    <w:rsid w:val="00E70EE5"/>
    <w:rsid w:val="00E71B88"/>
    <w:rsid w:val="00E72939"/>
    <w:rsid w:val="00E72B66"/>
    <w:rsid w:val="00E72F45"/>
    <w:rsid w:val="00E73986"/>
    <w:rsid w:val="00E75272"/>
    <w:rsid w:val="00E7581D"/>
    <w:rsid w:val="00E7766D"/>
    <w:rsid w:val="00E7780F"/>
    <w:rsid w:val="00E80B9E"/>
    <w:rsid w:val="00E8567D"/>
    <w:rsid w:val="00E868BB"/>
    <w:rsid w:val="00E86E5F"/>
    <w:rsid w:val="00E8792E"/>
    <w:rsid w:val="00E90284"/>
    <w:rsid w:val="00E921F9"/>
    <w:rsid w:val="00E93536"/>
    <w:rsid w:val="00E94C62"/>
    <w:rsid w:val="00E96808"/>
    <w:rsid w:val="00E96C2E"/>
    <w:rsid w:val="00E976EF"/>
    <w:rsid w:val="00EA2B69"/>
    <w:rsid w:val="00EA4CDB"/>
    <w:rsid w:val="00EA6496"/>
    <w:rsid w:val="00EB04D6"/>
    <w:rsid w:val="00EB257E"/>
    <w:rsid w:val="00EB3495"/>
    <w:rsid w:val="00EB3AA3"/>
    <w:rsid w:val="00EB4F80"/>
    <w:rsid w:val="00EB594F"/>
    <w:rsid w:val="00EB6231"/>
    <w:rsid w:val="00EC1905"/>
    <w:rsid w:val="00EC1D49"/>
    <w:rsid w:val="00EC386D"/>
    <w:rsid w:val="00EC5A35"/>
    <w:rsid w:val="00EC6093"/>
    <w:rsid w:val="00EC7B38"/>
    <w:rsid w:val="00EC7E0A"/>
    <w:rsid w:val="00ED06AC"/>
    <w:rsid w:val="00ED29C4"/>
    <w:rsid w:val="00ED32BC"/>
    <w:rsid w:val="00ED361F"/>
    <w:rsid w:val="00ED535B"/>
    <w:rsid w:val="00ED5E3F"/>
    <w:rsid w:val="00EE04CC"/>
    <w:rsid w:val="00EE0D99"/>
    <w:rsid w:val="00EE1185"/>
    <w:rsid w:val="00EE1687"/>
    <w:rsid w:val="00EF19B2"/>
    <w:rsid w:val="00EF2059"/>
    <w:rsid w:val="00EF633C"/>
    <w:rsid w:val="00F050E4"/>
    <w:rsid w:val="00F0570F"/>
    <w:rsid w:val="00F06186"/>
    <w:rsid w:val="00F07C74"/>
    <w:rsid w:val="00F115C1"/>
    <w:rsid w:val="00F116CA"/>
    <w:rsid w:val="00F136AD"/>
    <w:rsid w:val="00F1402A"/>
    <w:rsid w:val="00F149EC"/>
    <w:rsid w:val="00F15EFF"/>
    <w:rsid w:val="00F173B1"/>
    <w:rsid w:val="00F177E2"/>
    <w:rsid w:val="00F21256"/>
    <w:rsid w:val="00F2186D"/>
    <w:rsid w:val="00F23A09"/>
    <w:rsid w:val="00F244B7"/>
    <w:rsid w:val="00F25649"/>
    <w:rsid w:val="00F25F7C"/>
    <w:rsid w:val="00F274B0"/>
    <w:rsid w:val="00F31679"/>
    <w:rsid w:val="00F31EFC"/>
    <w:rsid w:val="00F32C8B"/>
    <w:rsid w:val="00F36FFA"/>
    <w:rsid w:val="00F3708E"/>
    <w:rsid w:val="00F401D7"/>
    <w:rsid w:val="00F410A4"/>
    <w:rsid w:val="00F4110A"/>
    <w:rsid w:val="00F4160D"/>
    <w:rsid w:val="00F42B40"/>
    <w:rsid w:val="00F42C0A"/>
    <w:rsid w:val="00F43A4A"/>
    <w:rsid w:val="00F447D9"/>
    <w:rsid w:val="00F4603F"/>
    <w:rsid w:val="00F476DE"/>
    <w:rsid w:val="00F47B82"/>
    <w:rsid w:val="00F522C5"/>
    <w:rsid w:val="00F5452C"/>
    <w:rsid w:val="00F54AC5"/>
    <w:rsid w:val="00F5630E"/>
    <w:rsid w:val="00F56A29"/>
    <w:rsid w:val="00F56F88"/>
    <w:rsid w:val="00F5788F"/>
    <w:rsid w:val="00F6235F"/>
    <w:rsid w:val="00F67474"/>
    <w:rsid w:val="00F70568"/>
    <w:rsid w:val="00F70BAA"/>
    <w:rsid w:val="00F72E0F"/>
    <w:rsid w:val="00F7403F"/>
    <w:rsid w:val="00F764AC"/>
    <w:rsid w:val="00F77114"/>
    <w:rsid w:val="00F815AD"/>
    <w:rsid w:val="00F82D4C"/>
    <w:rsid w:val="00F837DE"/>
    <w:rsid w:val="00F83B93"/>
    <w:rsid w:val="00F845FF"/>
    <w:rsid w:val="00F84DAC"/>
    <w:rsid w:val="00F8583E"/>
    <w:rsid w:val="00F90CE7"/>
    <w:rsid w:val="00F919EC"/>
    <w:rsid w:val="00F92327"/>
    <w:rsid w:val="00F93088"/>
    <w:rsid w:val="00F93772"/>
    <w:rsid w:val="00F939EE"/>
    <w:rsid w:val="00F9408F"/>
    <w:rsid w:val="00F953F1"/>
    <w:rsid w:val="00F969FC"/>
    <w:rsid w:val="00F9737E"/>
    <w:rsid w:val="00F976B3"/>
    <w:rsid w:val="00F977DB"/>
    <w:rsid w:val="00FA2036"/>
    <w:rsid w:val="00FA34ED"/>
    <w:rsid w:val="00FA4A09"/>
    <w:rsid w:val="00FA4C75"/>
    <w:rsid w:val="00FA509E"/>
    <w:rsid w:val="00FB3546"/>
    <w:rsid w:val="00FB3FE7"/>
    <w:rsid w:val="00FC119F"/>
    <w:rsid w:val="00FC1342"/>
    <w:rsid w:val="00FC3700"/>
    <w:rsid w:val="00FC3A29"/>
    <w:rsid w:val="00FC4C2C"/>
    <w:rsid w:val="00FC5306"/>
    <w:rsid w:val="00FC7931"/>
    <w:rsid w:val="00FD3D6E"/>
    <w:rsid w:val="00FD3F22"/>
    <w:rsid w:val="00FD4021"/>
    <w:rsid w:val="00FD460F"/>
    <w:rsid w:val="00FD6AFA"/>
    <w:rsid w:val="00FE032B"/>
    <w:rsid w:val="00FE215A"/>
    <w:rsid w:val="00FE5DC2"/>
    <w:rsid w:val="00FE623D"/>
    <w:rsid w:val="00FF0DB3"/>
    <w:rsid w:val="00FF2480"/>
    <w:rsid w:val="00FF376C"/>
    <w:rsid w:val="00FF3B1F"/>
    <w:rsid w:val="00FF3DA7"/>
    <w:rsid w:val="00FF58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6E8C43-E284-4F09-8DA5-46AE9E798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F35"/>
    <w:pPr>
      <w:spacing w:after="0" w:line="240" w:lineRule="auto"/>
    </w:pPr>
    <w:rPr>
      <w:rFonts w:ascii="Calibri" w:hAnsi="Calibri" w:cs="Tahom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A77"/>
    <w:pPr>
      <w:tabs>
        <w:tab w:val="center" w:pos="4513"/>
        <w:tab w:val="right" w:pos="9026"/>
      </w:tabs>
    </w:pPr>
    <w:rPr>
      <w:rFonts w:cs="Angsana New"/>
      <w:szCs w:val="28"/>
    </w:rPr>
  </w:style>
  <w:style w:type="character" w:customStyle="1" w:styleId="HeaderChar">
    <w:name w:val="Header Char"/>
    <w:basedOn w:val="DefaultParagraphFont"/>
    <w:link w:val="Header"/>
    <w:uiPriority w:val="99"/>
    <w:rsid w:val="001A0A77"/>
    <w:rPr>
      <w:rFonts w:ascii="Calibri" w:hAnsi="Calibri" w:cs="Angsana New"/>
    </w:rPr>
  </w:style>
  <w:style w:type="paragraph" w:styleId="Footer">
    <w:name w:val="footer"/>
    <w:basedOn w:val="Normal"/>
    <w:link w:val="FooterChar"/>
    <w:uiPriority w:val="99"/>
    <w:unhideWhenUsed/>
    <w:rsid w:val="001A0A77"/>
    <w:pPr>
      <w:tabs>
        <w:tab w:val="center" w:pos="4513"/>
        <w:tab w:val="right" w:pos="9026"/>
      </w:tabs>
    </w:pPr>
    <w:rPr>
      <w:rFonts w:cs="Angsana New"/>
      <w:szCs w:val="28"/>
    </w:rPr>
  </w:style>
  <w:style w:type="character" w:customStyle="1" w:styleId="FooterChar">
    <w:name w:val="Footer Char"/>
    <w:basedOn w:val="DefaultParagraphFont"/>
    <w:link w:val="Footer"/>
    <w:uiPriority w:val="99"/>
    <w:rsid w:val="001A0A77"/>
    <w:rPr>
      <w:rFonts w:ascii="Calibri" w:hAnsi="Calibri" w:cs="Angsana New"/>
    </w:rPr>
  </w:style>
  <w:style w:type="paragraph" w:styleId="BalloonText">
    <w:name w:val="Balloon Text"/>
    <w:basedOn w:val="Normal"/>
    <w:link w:val="BalloonTextChar"/>
    <w:uiPriority w:val="99"/>
    <w:semiHidden/>
    <w:unhideWhenUsed/>
    <w:rsid w:val="001A0A77"/>
    <w:rPr>
      <w:rFonts w:ascii="Tahoma" w:hAnsi="Tahoma" w:cs="Angsana New"/>
      <w:sz w:val="16"/>
      <w:szCs w:val="20"/>
    </w:rPr>
  </w:style>
  <w:style w:type="character" w:customStyle="1" w:styleId="BalloonTextChar">
    <w:name w:val="Balloon Text Char"/>
    <w:basedOn w:val="DefaultParagraphFont"/>
    <w:link w:val="BalloonText"/>
    <w:uiPriority w:val="99"/>
    <w:semiHidden/>
    <w:rsid w:val="001A0A77"/>
    <w:rPr>
      <w:rFonts w:ascii="Tahoma" w:hAnsi="Tahoma" w:cs="Angsana New"/>
      <w:sz w:val="16"/>
      <w:szCs w:val="20"/>
    </w:rPr>
  </w:style>
  <w:style w:type="paragraph" w:styleId="ListParagraph">
    <w:name w:val="List Paragraph"/>
    <w:basedOn w:val="Normal"/>
    <w:uiPriority w:val="99"/>
    <w:qFormat/>
    <w:rsid w:val="006A3A6E"/>
    <w:pPr>
      <w:ind w:left="720"/>
      <w:contextualSpacing/>
    </w:pPr>
    <w:rPr>
      <w:rFonts w:ascii="Times New Roman" w:eastAsia="Times New Roman" w:hAnsi="Times New Roman" w:cs="Angsana New"/>
      <w:sz w:val="24"/>
      <w:szCs w:val="28"/>
    </w:rPr>
  </w:style>
  <w:style w:type="paragraph" w:customStyle="1" w:styleId="Body">
    <w:name w:val="Body"/>
    <w:rsid w:val="0091314D"/>
    <w:pPr>
      <w:pBdr>
        <w:top w:val="nil"/>
        <w:left w:val="nil"/>
        <w:bottom w:val="nil"/>
        <w:right w:val="nil"/>
        <w:between w:val="nil"/>
        <w:bar w:val="nil"/>
      </w:pBdr>
      <w:spacing w:after="0" w:line="240" w:lineRule="auto"/>
    </w:pPr>
    <w:rPr>
      <w:rFonts w:ascii="Calibri" w:eastAsia="Calibri" w:hAnsi="Calibri" w:cs="Calibri"/>
      <w:color w:val="000000"/>
      <w:szCs w:val="22"/>
      <w:u w:color="000000"/>
      <w:bdr w:val="nil"/>
    </w:rPr>
  </w:style>
  <w:style w:type="paragraph" w:styleId="NoSpacing">
    <w:name w:val="No Spacing"/>
    <w:uiPriority w:val="1"/>
    <w:qFormat/>
    <w:rsid w:val="006618A7"/>
    <w:pPr>
      <w:spacing w:after="0" w:line="240" w:lineRule="auto"/>
    </w:pPr>
    <w:rPr>
      <w:rFonts w:ascii="Calibri" w:hAnsi="Calibri" w:cs="Angsana New"/>
    </w:rPr>
  </w:style>
  <w:style w:type="character" w:styleId="Strong">
    <w:name w:val="Strong"/>
    <w:basedOn w:val="DefaultParagraphFont"/>
    <w:uiPriority w:val="22"/>
    <w:qFormat/>
    <w:rsid w:val="00FA509E"/>
    <w:rPr>
      <w:b/>
      <w:bCs/>
    </w:rPr>
  </w:style>
  <w:style w:type="paragraph" w:styleId="NormalWeb">
    <w:name w:val="Normal (Web)"/>
    <w:basedOn w:val="Normal"/>
    <w:uiPriority w:val="99"/>
    <w:semiHidden/>
    <w:unhideWhenUsed/>
    <w:rsid w:val="00FA509E"/>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A509E"/>
  </w:style>
  <w:style w:type="character" w:styleId="Emphasis">
    <w:name w:val="Emphasis"/>
    <w:basedOn w:val="DefaultParagraphFont"/>
    <w:uiPriority w:val="20"/>
    <w:qFormat/>
    <w:rsid w:val="00FA50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2144">
      <w:bodyDiv w:val="1"/>
      <w:marLeft w:val="0"/>
      <w:marRight w:val="0"/>
      <w:marTop w:val="0"/>
      <w:marBottom w:val="0"/>
      <w:divBdr>
        <w:top w:val="none" w:sz="0" w:space="0" w:color="auto"/>
        <w:left w:val="none" w:sz="0" w:space="0" w:color="auto"/>
        <w:bottom w:val="none" w:sz="0" w:space="0" w:color="auto"/>
        <w:right w:val="none" w:sz="0" w:space="0" w:color="auto"/>
      </w:divBdr>
    </w:div>
    <w:div w:id="28647020">
      <w:bodyDiv w:val="1"/>
      <w:marLeft w:val="0"/>
      <w:marRight w:val="0"/>
      <w:marTop w:val="0"/>
      <w:marBottom w:val="0"/>
      <w:divBdr>
        <w:top w:val="none" w:sz="0" w:space="0" w:color="auto"/>
        <w:left w:val="none" w:sz="0" w:space="0" w:color="auto"/>
        <w:bottom w:val="none" w:sz="0" w:space="0" w:color="auto"/>
        <w:right w:val="none" w:sz="0" w:space="0" w:color="auto"/>
      </w:divBdr>
    </w:div>
    <w:div w:id="99766385">
      <w:bodyDiv w:val="1"/>
      <w:marLeft w:val="0"/>
      <w:marRight w:val="0"/>
      <w:marTop w:val="0"/>
      <w:marBottom w:val="0"/>
      <w:divBdr>
        <w:top w:val="none" w:sz="0" w:space="0" w:color="auto"/>
        <w:left w:val="none" w:sz="0" w:space="0" w:color="auto"/>
        <w:bottom w:val="none" w:sz="0" w:space="0" w:color="auto"/>
        <w:right w:val="none" w:sz="0" w:space="0" w:color="auto"/>
      </w:divBdr>
    </w:div>
    <w:div w:id="136533490">
      <w:bodyDiv w:val="1"/>
      <w:marLeft w:val="0"/>
      <w:marRight w:val="0"/>
      <w:marTop w:val="0"/>
      <w:marBottom w:val="0"/>
      <w:divBdr>
        <w:top w:val="none" w:sz="0" w:space="0" w:color="auto"/>
        <w:left w:val="none" w:sz="0" w:space="0" w:color="auto"/>
        <w:bottom w:val="none" w:sz="0" w:space="0" w:color="auto"/>
        <w:right w:val="none" w:sz="0" w:space="0" w:color="auto"/>
      </w:divBdr>
    </w:div>
    <w:div w:id="164832682">
      <w:bodyDiv w:val="1"/>
      <w:marLeft w:val="0"/>
      <w:marRight w:val="0"/>
      <w:marTop w:val="0"/>
      <w:marBottom w:val="0"/>
      <w:divBdr>
        <w:top w:val="none" w:sz="0" w:space="0" w:color="auto"/>
        <w:left w:val="none" w:sz="0" w:space="0" w:color="auto"/>
        <w:bottom w:val="none" w:sz="0" w:space="0" w:color="auto"/>
        <w:right w:val="none" w:sz="0" w:space="0" w:color="auto"/>
      </w:divBdr>
    </w:div>
    <w:div w:id="171340264">
      <w:bodyDiv w:val="1"/>
      <w:marLeft w:val="0"/>
      <w:marRight w:val="0"/>
      <w:marTop w:val="0"/>
      <w:marBottom w:val="0"/>
      <w:divBdr>
        <w:top w:val="none" w:sz="0" w:space="0" w:color="auto"/>
        <w:left w:val="none" w:sz="0" w:space="0" w:color="auto"/>
        <w:bottom w:val="none" w:sz="0" w:space="0" w:color="auto"/>
        <w:right w:val="none" w:sz="0" w:space="0" w:color="auto"/>
      </w:divBdr>
    </w:div>
    <w:div w:id="187184668">
      <w:bodyDiv w:val="1"/>
      <w:marLeft w:val="0"/>
      <w:marRight w:val="0"/>
      <w:marTop w:val="0"/>
      <w:marBottom w:val="0"/>
      <w:divBdr>
        <w:top w:val="none" w:sz="0" w:space="0" w:color="auto"/>
        <w:left w:val="none" w:sz="0" w:space="0" w:color="auto"/>
        <w:bottom w:val="none" w:sz="0" w:space="0" w:color="auto"/>
        <w:right w:val="none" w:sz="0" w:space="0" w:color="auto"/>
      </w:divBdr>
    </w:div>
    <w:div w:id="199780121">
      <w:bodyDiv w:val="1"/>
      <w:marLeft w:val="0"/>
      <w:marRight w:val="0"/>
      <w:marTop w:val="0"/>
      <w:marBottom w:val="0"/>
      <w:divBdr>
        <w:top w:val="none" w:sz="0" w:space="0" w:color="auto"/>
        <w:left w:val="none" w:sz="0" w:space="0" w:color="auto"/>
        <w:bottom w:val="none" w:sz="0" w:space="0" w:color="auto"/>
        <w:right w:val="none" w:sz="0" w:space="0" w:color="auto"/>
      </w:divBdr>
    </w:div>
    <w:div w:id="267130075">
      <w:bodyDiv w:val="1"/>
      <w:marLeft w:val="0"/>
      <w:marRight w:val="0"/>
      <w:marTop w:val="0"/>
      <w:marBottom w:val="0"/>
      <w:divBdr>
        <w:top w:val="none" w:sz="0" w:space="0" w:color="auto"/>
        <w:left w:val="none" w:sz="0" w:space="0" w:color="auto"/>
        <w:bottom w:val="none" w:sz="0" w:space="0" w:color="auto"/>
        <w:right w:val="none" w:sz="0" w:space="0" w:color="auto"/>
      </w:divBdr>
    </w:div>
    <w:div w:id="435946508">
      <w:bodyDiv w:val="1"/>
      <w:marLeft w:val="0"/>
      <w:marRight w:val="0"/>
      <w:marTop w:val="0"/>
      <w:marBottom w:val="0"/>
      <w:divBdr>
        <w:top w:val="none" w:sz="0" w:space="0" w:color="auto"/>
        <w:left w:val="none" w:sz="0" w:space="0" w:color="auto"/>
        <w:bottom w:val="none" w:sz="0" w:space="0" w:color="auto"/>
        <w:right w:val="none" w:sz="0" w:space="0" w:color="auto"/>
      </w:divBdr>
    </w:div>
    <w:div w:id="454718107">
      <w:bodyDiv w:val="1"/>
      <w:marLeft w:val="0"/>
      <w:marRight w:val="0"/>
      <w:marTop w:val="0"/>
      <w:marBottom w:val="0"/>
      <w:divBdr>
        <w:top w:val="none" w:sz="0" w:space="0" w:color="auto"/>
        <w:left w:val="none" w:sz="0" w:space="0" w:color="auto"/>
        <w:bottom w:val="none" w:sz="0" w:space="0" w:color="auto"/>
        <w:right w:val="none" w:sz="0" w:space="0" w:color="auto"/>
      </w:divBdr>
    </w:div>
    <w:div w:id="820266290">
      <w:bodyDiv w:val="1"/>
      <w:marLeft w:val="0"/>
      <w:marRight w:val="0"/>
      <w:marTop w:val="0"/>
      <w:marBottom w:val="0"/>
      <w:divBdr>
        <w:top w:val="none" w:sz="0" w:space="0" w:color="auto"/>
        <w:left w:val="none" w:sz="0" w:space="0" w:color="auto"/>
        <w:bottom w:val="none" w:sz="0" w:space="0" w:color="auto"/>
        <w:right w:val="none" w:sz="0" w:space="0" w:color="auto"/>
      </w:divBdr>
    </w:div>
    <w:div w:id="932785519">
      <w:bodyDiv w:val="1"/>
      <w:marLeft w:val="0"/>
      <w:marRight w:val="0"/>
      <w:marTop w:val="0"/>
      <w:marBottom w:val="0"/>
      <w:divBdr>
        <w:top w:val="none" w:sz="0" w:space="0" w:color="auto"/>
        <w:left w:val="none" w:sz="0" w:space="0" w:color="auto"/>
        <w:bottom w:val="none" w:sz="0" w:space="0" w:color="auto"/>
        <w:right w:val="none" w:sz="0" w:space="0" w:color="auto"/>
      </w:divBdr>
    </w:div>
    <w:div w:id="1028337477">
      <w:bodyDiv w:val="1"/>
      <w:marLeft w:val="0"/>
      <w:marRight w:val="0"/>
      <w:marTop w:val="0"/>
      <w:marBottom w:val="0"/>
      <w:divBdr>
        <w:top w:val="none" w:sz="0" w:space="0" w:color="auto"/>
        <w:left w:val="none" w:sz="0" w:space="0" w:color="auto"/>
        <w:bottom w:val="none" w:sz="0" w:space="0" w:color="auto"/>
        <w:right w:val="none" w:sz="0" w:space="0" w:color="auto"/>
      </w:divBdr>
    </w:div>
    <w:div w:id="1095517684">
      <w:bodyDiv w:val="1"/>
      <w:marLeft w:val="0"/>
      <w:marRight w:val="0"/>
      <w:marTop w:val="0"/>
      <w:marBottom w:val="0"/>
      <w:divBdr>
        <w:top w:val="none" w:sz="0" w:space="0" w:color="auto"/>
        <w:left w:val="none" w:sz="0" w:space="0" w:color="auto"/>
        <w:bottom w:val="none" w:sz="0" w:space="0" w:color="auto"/>
        <w:right w:val="none" w:sz="0" w:space="0" w:color="auto"/>
      </w:divBdr>
    </w:div>
    <w:div w:id="1120152728">
      <w:bodyDiv w:val="1"/>
      <w:marLeft w:val="0"/>
      <w:marRight w:val="0"/>
      <w:marTop w:val="0"/>
      <w:marBottom w:val="0"/>
      <w:divBdr>
        <w:top w:val="none" w:sz="0" w:space="0" w:color="auto"/>
        <w:left w:val="none" w:sz="0" w:space="0" w:color="auto"/>
        <w:bottom w:val="none" w:sz="0" w:space="0" w:color="auto"/>
        <w:right w:val="none" w:sz="0" w:space="0" w:color="auto"/>
      </w:divBdr>
    </w:div>
    <w:div w:id="1284117251">
      <w:bodyDiv w:val="1"/>
      <w:marLeft w:val="0"/>
      <w:marRight w:val="0"/>
      <w:marTop w:val="0"/>
      <w:marBottom w:val="0"/>
      <w:divBdr>
        <w:top w:val="none" w:sz="0" w:space="0" w:color="auto"/>
        <w:left w:val="none" w:sz="0" w:space="0" w:color="auto"/>
        <w:bottom w:val="none" w:sz="0" w:space="0" w:color="auto"/>
        <w:right w:val="none" w:sz="0" w:space="0" w:color="auto"/>
      </w:divBdr>
    </w:div>
    <w:div w:id="1477607202">
      <w:bodyDiv w:val="1"/>
      <w:marLeft w:val="0"/>
      <w:marRight w:val="0"/>
      <w:marTop w:val="0"/>
      <w:marBottom w:val="0"/>
      <w:divBdr>
        <w:top w:val="none" w:sz="0" w:space="0" w:color="auto"/>
        <w:left w:val="none" w:sz="0" w:space="0" w:color="auto"/>
        <w:bottom w:val="none" w:sz="0" w:space="0" w:color="auto"/>
        <w:right w:val="none" w:sz="0" w:space="0" w:color="auto"/>
      </w:divBdr>
    </w:div>
    <w:div w:id="1514342483">
      <w:bodyDiv w:val="1"/>
      <w:marLeft w:val="0"/>
      <w:marRight w:val="0"/>
      <w:marTop w:val="0"/>
      <w:marBottom w:val="0"/>
      <w:divBdr>
        <w:top w:val="none" w:sz="0" w:space="0" w:color="auto"/>
        <w:left w:val="none" w:sz="0" w:space="0" w:color="auto"/>
        <w:bottom w:val="none" w:sz="0" w:space="0" w:color="auto"/>
        <w:right w:val="none" w:sz="0" w:space="0" w:color="auto"/>
      </w:divBdr>
    </w:div>
    <w:div w:id="1515416300">
      <w:bodyDiv w:val="1"/>
      <w:marLeft w:val="0"/>
      <w:marRight w:val="0"/>
      <w:marTop w:val="0"/>
      <w:marBottom w:val="0"/>
      <w:divBdr>
        <w:top w:val="none" w:sz="0" w:space="0" w:color="auto"/>
        <w:left w:val="none" w:sz="0" w:space="0" w:color="auto"/>
        <w:bottom w:val="none" w:sz="0" w:space="0" w:color="auto"/>
        <w:right w:val="none" w:sz="0" w:space="0" w:color="auto"/>
      </w:divBdr>
    </w:div>
    <w:div w:id="1515536214">
      <w:bodyDiv w:val="1"/>
      <w:marLeft w:val="0"/>
      <w:marRight w:val="0"/>
      <w:marTop w:val="0"/>
      <w:marBottom w:val="0"/>
      <w:divBdr>
        <w:top w:val="none" w:sz="0" w:space="0" w:color="auto"/>
        <w:left w:val="none" w:sz="0" w:space="0" w:color="auto"/>
        <w:bottom w:val="none" w:sz="0" w:space="0" w:color="auto"/>
        <w:right w:val="none" w:sz="0" w:space="0" w:color="auto"/>
      </w:divBdr>
    </w:div>
    <w:div w:id="1548106852">
      <w:bodyDiv w:val="1"/>
      <w:marLeft w:val="0"/>
      <w:marRight w:val="0"/>
      <w:marTop w:val="0"/>
      <w:marBottom w:val="0"/>
      <w:divBdr>
        <w:top w:val="none" w:sz="0" w:space="0" w:color="auto"/>
        <w:left w:val="none" w:sz="0" w:space="0" w:color="auto"/>
        <w:bottom w:val="none" w:sz="0" w:space="0" w:color="auto"/>
        <w:right w:val="none" w:sz="0" w:space="0" w:color="auto"/>
      </w:divBdr>
    </w:div>
    <w:div w:id="1777872750">
      <w:bodyDiv w:val="1"/>
      <w:marLeft w:val="0"/>
      <w:marRight w:val="0"/>
      <w:marTop w:val="0"/>
      <w:marBottom w:val="0"/>
      <w:divBdr>
        <w:top w:val="none" w:sz="0" w:space="0" w:color="auto"/>
        <w:left w:val="none" w:sz="0" w:space="0" w:color="auto"/>
        <w:bottom w:val="none" w:sz="0" w:space="0" w:color="auto"/>
        <w:right w:val="none" w:sz="0" w:space="0" w:color="auto"/>
      </w:divBdr>
    </w:div>
    <w:div w:id="1814562628">
      <w:bodyDiv w:val="1"/>
      <w:marLeft w:val="0"/>
      <w:marRight w:val="0"/>
      <w:marTop w:val="0"/>
      <w:marBottom w:val="0"/>
      <w:divBdr>
        <w:top w:val="none" w:sz="0" w:space="0" w:color="auto"/>
        <w:left w:val="none" w:sz="0" w:space="0" w:color="auto"/>
        <w:bottom w:val="none" w:sz="0" w:space="0" w:color="auto"/>
        <w:right w:val="none" w:sz="0" w:space="0" w:color="auto"/>
      </w:divBdr>
    </w:div>
    <w:div w:id="1820152464">
      <w:bodyDiv w:val="1"/>
      <w:marLeft w:val="0"/>
      <w:marRight w:val="0"/>
      <w:marTop w:val="0"/>
      <w:marBottom w:val="0"/>
      <w:divBdr>
        <w:top w:val="none" w:sz="0" w:space="0" w:color="auto"/>
        <w:left w:val="none" w:sz="0" w:space="0" w:color="auto"/>
        <w:bottom w:val="none" w:sz="0" w:space="0" w:color="auto"/>
        <w:right w:val="none" w:sz="0" w:space="0" w:color="auto"/>
      </w:divBdr>
    </w:div>
    <w:div w:id="1854146155">
      <w:bodyDiv w:val="1"/>
      <w:marLeft w:val="0"/>
      <w:marRight w:val="0"/>
      <w:marTop w:val="0"/>
      <w:marBottom w:val="0"/>
      <w:divBdr>
        <w:top w:val="none" w:sz="0" w:space="0" w:color="auto"/>
        <w:left w:val="none" w:sz="0" w:space="0" w:color="auto"/>
        <w:bottom w:val="none" w:sz="0" w:space="0" w:color="auto"/>
        <w:right w:val="none" w:sz="0" w:space="0" w:color="auto"/>
      </w:divBdr>
    </w:div>
    <w:div w:id="1895508667">
      <w:bodyDiv w:val="1"/>
      <w:marLeft w:val="0"/>
      <w:marRight w:val="0"/>
      <w:marTop w:val="0"/>
      <w:marBottom w:val="0"/>
      <w:divBdr>
        <w:top w:val="none" w:sz="0" w:space="0" w:color="auto"/>
        <w:left w:val="none" w:sz="0" w:space="0" w:color="auto"/>
        <w:bottom w:val="none" w:sz="0" w:space="0" w:color="auto"/>
        <w:right w:val="none" w:sz="0" w:space="0" w:color="auto"/>
      </w:divBdr>
    </w:div>
    <w:div w:id="1902905714">
      <w:bodyDiv w:val="1"/>
      <w:marLeft w:val="0"/>
      <w:marRight w:val="0"/>
      <w:marTop w:val="0"/>
      <w:marBottom w:val="0"/>
      <w:divBdr>
        <w:top w:val="none" w:sz="0" w:space="0" w:color="auto"/>
        <w:left w:val="none" w:sz="0" w:space="0" w:color="auto"/>
        <w:bottom w:val="none" w:sz="0" w:space="0" w:color="auto"/>
        <w:right w:val="none" w:sz="0" w:space="0" w:color="auto"/>
      </w:divBdr>
    </w:div>
    <w:div w:id="1917468682">
      <w:bodyDiv w:val="1"/>
      <w:marLeft w:val="0"/>
      <w:marRight w:val="0"/>
      <w:marTop w:val="0"/>
      <w:marBottom w:val="0"/>
      <w:divBdr>
        <w:top w:val="none" w:sz="0" w:space="0" w:color="auto"/>
        <w:left w:val="none" w:sz="0" w:space="0" w:color="auto"/>
        <w:bottom w:val="none" w:sz="0" w:space="0" w:color="auto"/>
        <w:right w:val="none" w:sz="0" w:space="0" w:color="auto"/>
      </w:divBdr>
    </w:div>
    <w:div w:id="1921669332">
      <w:bodyDiv w:val="1"/>
      <w:marLeft w:val="0"/>
      <w:marRight w:val="0"/>
      <w:marTop w:val="0"/>
      <w:marBottom w:val="0"/>
      <w:divBdr>
        <w:top w:val="none" w:sz="0" w:space="0" w:color="auto"/>
        <w:left w:val="none" w:sz="0" w:space="0" w:color="auto"/>
        <w:bottom w:val="none" w:sz="0" w:space="0" w:color="auto"/>
        <w:right w:val="none" w:sz="0" w:space="0" w:color="auto"/>
      </w:divBdr>
    </w:div>
    <w:div w:id="206255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E6313-5B27-4D8A-94BB-C9FCF83CC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1320</Words>
  <Characters>7529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Press Release</vt:lpstr>
    </vt:vector>
  </TitlesOfParts>
  <Company>Microsoft</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Dell</dc:creator>
  <cp:lastModifiedBy>Pattraporn Yosvichit</cp:lastModifiedBy>
  <cp:revision>27</cp:revision>
  <cp:lastPrinted>2019-10-28T06:38:00Z</cp:lastPrinted>
  <dcterms:created xsi:type="dcterms:W3CDTF">2019-10-27T08:33:00Z</dcterms:created>
  <dcterms:modified xsi:type="dcterms:W3CDTF">2019-10-28T06:39:00Z</dcterms:modified>
</cp:coreProperties>
</file>